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3DA7" w14:textId="77777777" w:rsidR="00BC1AA4" w:rsidRPr="00695C09" w:rsidRDefault="0016071B" w:rsidP="00BC1AA4">
      <w:pPr>
        <w:rPr>
          <w:b/>
          <w:sz w:val="24"/>
        </w:rPr>
      </w:pPr>
      <w:r>
        <w:rPr>
          <w:b/>
          <w:sz w:val="24"/>
        </w:rPr>
        <w:t>Het HU-assessment:</w:t>
      </w:r>
      <w:r w:rsidR="00BC1AA4">
        <w:rPr>
          <w:b/>
          <w:sz w:val="24"/>
        </w:rPr>
        <w:t xml:space="preserve"> </w:t>
      </w:r>
      <w:r w:rsidR="00BC1AA4" w:rsidRPr="00695C09">
        <w:rPr>
          <w:b/>
          <w:sz w:val="24"/>
        </w:rPr>
        <w:t>Handre</w:t>
      </w:r>
      <w:r w:rsidR="001D5314">
        <w:rPr>
          <w:b/>
          <w:sz w:val="24"/>
        </w:rPr>
        <w:t>iking voor borging kwaliteit</w:t>
      </w:r>
      <w:r w:rsidR="00E339EC">
        <w:rPr>
          <w:b/>
          <w:sz w:val="24"/>
        </w:rPr>
        <w:t xml:space="preserve"> t.b.v. examencommissies</w:t>
      </w:r>
    </w:p>
    <w:p w14:paraId="4662D1DD" w14:textId="77777777" w:rsidR="00BC1AA4" w:rsidRDefault="00BC1AA4" w:rsidP="00BC1AA4">
      <w:r>
        <w:t>Binnen het competentiegericht beoordelen komt het ‘assessment’ als toetsvorm vaak naar voren. Op de HU verstaan we onder een assessment:</w:t>
      </w:r>
    </w:p>
    <w:p w14:paraId="19D22C17" w14:textId="77E8B9BE" w:rsidR="00BC1AA4" w:rsidRDefault="5ACF5D8C" w:rsidP="5ACF5D8C">
      <w:pPr>
        <w:pBdr>
          <w:top w:val="nil"/>
          <w:left w:val="nil"/>
          <w:bottom w:val="nil"/>
          <w:right w:val="nil"/>
          <w:between w:val="nil"/>
        </w:pBdr>
        <w:spacing w:line="240" w:lineRule="auto"/>
        <w:rPr>
          <w:color w:val="000000" w:themeColor="text1"/>
        </w:rPr>
      </w:pPr>
      <w:r w:rsidRPr="5ACF5D8C">
        <w:rPr>
          <w:color w:val="000000" w:themeColor="text1"/>
        </w:rPr>
        <w:t>“Assessment is een procedure waarin een waarderend o</w:t>
      </w:r>
      <w:r>
        <w:t>or</w:t>
      </w:r>
      <w:r w:rsidRPr="5ACF5D8C">
        <w:rPr>
          <w:color w:val="000000" w:themeColor="text1"/>
        </w:rPr>
        <w:t>deel wordt uitgesproken op basis van meerdere metingen van specifieke prestaties ten behoeve van een te nemen beslissing.” (Sinke, 2015. P. 34) Daarbij is een criteriumgericht interview meestal een onderdeel. Verder is het uitgangspunt d</w:t>
      </w:r>
      <w:bookmarkStart w:id="0" w:name="_GoBack"/>
      <w:bookmarkEnd w:id="0"/>
      <w:r w:rsidRPr="5ACF5D8C">
        <w:rPr>
          <w:color w:val="000000" w:themeColor="text1"/>
        </w:rPr>
        <w:t>at er altijd één samenhangend oordeel wordt gegeven op basis van alle onderdelen.  </w:t>
      </w:r>
    </w:p>
    <w:p w14:paraId="0545B837" w14:textId="77777777" w:rsidR="00BC1AA4" w:rsidRDefault="00BC1AA4" w:rsidP="00BC1AA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Met de combinatie van bovenstaande onderdelen onderscheidt een assessment zich van aanverwante toetsvormen zoals een portfoliotoets of een eindgesprek.</w:t>
      </w:r>
    </w:p>
    <w:p w14:paraId="3DE3EF63" w14:textId="77777777" w:rsidR="009B3026" w:rsidRDefault="00211DA8" w:rsidP="00BC1AA4">
      <w:r>
        <w:t>Hieronder worden</w:t>
      </w:r>
      <w:r w:rsidR="00BC1AA4">
        <w:t xml:space="preserve"> aandachtspunten </w:t>
      </w:r>
      <w:r>
        <w:t>gegeven</w:t>
      </w:r>
      <w:r w:rsidR="00BC1AA4">
        <w:t xml:space="preserve"> voor </w:t>
      </w:r>
      <w:r w:rsidR="001D5314">
        <w:rPr>
          <w:b/>
          <w:i/>
        </w:rPr>
        <w:t>examencommissies</w:t>
      </w:r>
      <w:r w:rsidR="00BC1AA4">
        <w:t xml:space="preserve"> </w:t>
      </w:r>
      <w:r>
        <w:t xml:space="preserve">met betrekking tot </w:t>
      </w:r>
      <w:r w:rsidR="001D5314">
        <w:t>de borging van de kwaliteit</w:t>
      </w:r>
      <w:r w:rsidR="00BC1AA4">
        <w:t xml:space="preserve"> van assessments</w:t>
      </w:r>
      <w:r w:rsidR="001D5314">
        <w:t xml:space="preserve">. Deze checklist kan gebruikt worden om de assessments van een opleiding te evalueren en </w:t>
      </w:r>
      <w:r>
        <w:t>verbeter</w:t>
      </w:r>
      <w:r w:rsidR="001D5314">
        <w:t xml:space="preserve">punten te formuleren. </w:t>
      </w:r>
      <w:r w:rsidR="00BC1AA4">
        <w:t xml:space="preserve"> </w:t>
      </w:r>
    </w:p>
    <w:p w14:paraId="672A6659" w14:textId="77777777" w:rsidR="009B3026" w:rsidRDefault="009B3026"/>
    <w:p w14:paraId="0062293A" w14:textId="77777777" w:rsidR="009B3026" w:rsidRDefault="009B3026">
      <w:r>
        <w:t>In de checklist wordt gekeken naar 4 kwaliteitsaspecten van toetsing: validiteit, betrouwbaarheid, functies van de toets en rechtvaardige condities. De score kan bepaald worden op basis van:</w:t>
      </w:r>
    </w:p>
    <w:p w14:paraId="2BE8D591" w14:textId="77777777" w:rsidR="009B3026" w:rsidRDefault="009B3026" w:rsidP="009B3026">
      <w:pPr>
        <w:pStyle w:val="Lijstalinea"/>
        <w:numPr>
          <w:ilvl w:val="0"/>
          <w:numId w:val="13"/>
        </w:numPr>
      </w:pPr>
      <w:r>
        <w:t>Toetsbeleid</w:t>
      </w:r>
    </w:p>
    <w:p w14:paraId="274583A0" w14:textId="77777777" w:rsidR="008C39BC" w:rsidRDefault="008C39BC" w:rsidP="009B3026">
      <w:pPr>
        <w:pStyle w:val="Lijstalinea"/>
        <w:numPr>
          <w:ilvl w:val="0"/>
          <w:numId w:val="13"/>
        </w:numPr>
      </w:pPr>
      <w:r>
        <w:t>Toetsprogramma</w:t>
      </w:r>
    </w:p>
    <w:p w14:paraId="5F7FE46F" w14:textId="77777777" w:rsidR="009B3026" w:rsidRDefault="009B3026" w:rsidP="009B3026">
      <w:pPr>
        <w:pStyle w:val="Lijstalinea"/>
        <w:numPr>
          <w:ilvl w:val="0"/>
          <w:numId w:val="13"/>
        </w:numPr>
      </w:pPr>
      <w:r>
        <w:t>Assessmenthandleidingen voor studenten</w:t>
      </w:r>
      <w:r w:rsidR="008C39BC">
        <w:t xml:space="preserve"> (inclusief beoordelingsformulieren)</w:t>
      </w:r>
    </w:p>
    <w:p w14:paraId="2EF188D2" w14:textId="77777777" w:rsidR="009B3026" w:rsidRDefault="009B3026" w:rsidP="009B3026">
      <w:pPr>
        <w:pStyle w:val="Lijstalinea"/>
        <w:numPr>
          <w:ilvl w:val="0"/>
          <w:numId w:val="13"/>
        </w:numPr>
      </w:pPr>
      <w:r>
        <w:t>Assessorenhandleidingen</w:t>
      </w:r>
    </w:p>
    <w:p w14:paraId="33FC97BE" w14:textId="77777777" w:rsidR="009B3026" w:rsidRDefault="009B3026" w:rsidP="009B3026">
      <w:pPr>
        <w:pStyle w:val="Lijstalinea"/>
        <w:numPr>
          <w:ilvl w:val="0"/>
          <w:numId w:val="13"/>
        </w:numPr>
      </w:pPr>
      <w:r>
        <w:t>Evaluatie van de praktijk</w:t>
      </w:r>
      <w:r w:rsidR="008C39BC">
        <w:t xml:space="preserve">: evalytics, kalibratieverslagen, en dergelijke. </w:t>
      </w:r>
      <w:r>
        <w:br w:type="page"/>
      </w:r>
    </w:p>
    <w:p w14:paraId="0A37501D" w14:textId="77777777" w:rsidR="00BC1AA4" w:rsidRDefault="00BC1AA4" w:rsidP="00BC1AA4"/>
    <w:tbl>
      <w:tblPr>
        <w:tblStyle w:val="Tabelraster"/>
        <w:tblW w:w="9072" w:type="dxa"/>
        <w:tblInd w:w="-5" w:type="dxa"/>
        <w:tblLayout w:type="fixed"/>
        <w:tblLook w:val="04A0" w:firstRow="1" w:lastRow="0" w:firstColumn="1" w:lastColumn="0" w:noHBand="0" w:noVBand="1"/>
      </w:tblPr>
      <w:tblGrid>
        <w:gridCol w:w="1134"/>
        <w:gridCol w:w="4111"/>
        <w:gridCol w:w="1418"/>
        <w:gridCol w:w="481"/>
        <w:gridCol w:w="482"/>
        <w:gridCol w:w="482"/>
        <w:gridCol w:w="482"/>
        <w:gridCol w:w="482"/>
      </w:tblGrid>
      <w:tr w:rsidR="009B3026" w14:paraId="219236EA" w14:textId="77777777" w:rsidTr="5ACF5D8C">
        <w:tc>
          <w:tcPr>
            <w:tcW w:w="1134" w:type="dxa"/>
          </w:tcPr>
          <w:p w14:paraId="07C95C9F" w14:textId="77777777" w:rsidR="009B3026" w:rsidRPr="00865452" w:rsidRDefault="009B3026" w:rsidP="00515712">
            <w:pPr>
              <w:rPr>
                <w:b/>
              </w:rPr>
            </w:pPr>
            <w:r w:rsidRPr="00865452">
              <w:rPr>
                <w:b/>
              </w:rPr>
              <w:t>Kwaliteits-aspect:</w:t>
            </w:r>
          </w:p>
        </w:tc>
        <w:tc>
          <w:tcPr>
            <w:tcW w:w="4111" w:type="dxa"/>
          </w:tcPr>
          <w:p w14:paraId="24BD101B" w14:textId="77777777" w:rsidR="009B3026" w:rsidRPr="00865452" w:rsidRDefault="009B3026" w:rsidP="00515712">
            <w:pPr>
              <w:rPr>
                <w:b/>
              </w:rPr>
            </w:pPr>
            <w:r w:rsidRPr="00865452">
              <w:rPr>
                <w:b/>
              </w:rPr>
              <w:t>Indicatoren specifiek voor assessments (volgens bovenstaande definitie):</w:t>
            </w:r>
          </w:p>
        </w:tc>
        <w:tc>
          <w:tcPr>
            <w:tcW w:w="1418" w:type="dxa"/>
          </w:tcPr>
          <w:p w14:paraId="4F6D0274" w14:textId="77777777" w:rsidR="009B3026" w:rsidRPr="00865452" w:rsidRDefault="009B3026" w:rsidP="00515712">
            <w:pPr>
              <w:rPr>
                <w:b/>
              </w:rPr>
            </w:pPr>
            <w:r w:rsidRPr="00865452">
              <w:rPr>
                <w:b/>
              </w:rPr>
              <w:t>Stappen in de toetscyclus:</w:t>
            </w:r>
          </w:p>
        </w:tc>
        <w:tc>
          <w:tcPr>
            <w:tcW w:w="2409" w:type="dxa"/>
            <w:gridSpan w:val="5"/>
          </w:tcPr>
          <w:p w14:paraId="3049CB66" w14:textId="77777777" w:rsidR="009B3026" w:rsidRPr="00865452" w:rsidRDefault="009B3026" w:rsidP="00515712">
            <w:pPr>
              <w:rPr>
                <w:b/>
                <w:sz w:val="18"/>
                <w:szCs w:val="18"/>
              </w:rPr>
            </w:pPr>
            <w:r w:rsidRPr="00865452">
              <w:rPr>
                <w:b/>
              </w:rPr>
              <w:t xml:space="preserve">Score: </w:t>
            </w:r>
            <w:r w:rsidRPr="00865452">
              <w:rPr>
                <w:b/>
                <w:sz w:val="18"/>
                <w:szCs w:val="18"/>
              </w:rPr>
              <w:t>in welke mate is hieraan voldaan:</w:t>
            </w:r>
          </w:p>
          <w:p w14:paraId="3BF2565C" w14:textId="77777777" w:rsidR="009B3026" w:rsidRPr="00865452" w:rsidRDefault="009B3026" w:rsidP="00515712">
            <w:pPr>
              <w:rPr>
                <w:b/>
              </w:rPr>
            </w:pPr>
            <w:r w:rsidRPr="00865452">
              <w:rPr>
                <w:b/>
                <w:sz w:val="18"/>
                <w:szCs w:val="18"/>
              </w:rPr>
              <w:t>(1: niet voldaan, 5 helemaal voldaan)</w:t>
            </w:r>
          </w:p>
        </w:tc>
      </w:tr>
      <w:tr w:rsidR="009B3026" w14:paraId="0C60DB2B" w14:textId="77777777" w:rsidTr="5ACF5D8C">
        <w:tc>
          <w:tcPr>
            <w:tcW w:w="1134" w:type="dxa"/>
          </w:tcPr>
          <w:p w14:paraId="6CA339DB" w14:textId="08C34774" w:rsidR="5ACF5D8C" w:rsidRDefault="5ACF5D8C"/>
          <w:p w14:paraId="21E785FC" w14:textId="77777777" w:rsidR="009B3026" w:rsidRDefault="009B3026" w:rsidP="006664AB">
            <w:r>
              <w:t>Validiteit</w:t>
            </w:r>
          </w:p>
        </w:tc>
        <w:tc>
          <w:tcPr>
            <w:tcW w:w="4111" w:type="dxa"/>
          </w:tcPr>
          <w:p w14:paraId="1990827C" w14:textId="4BBA5C20" w:rsidR="5ACF5D8C" w:rsidRDefault="5ACF5D8C"/>
          <w:p w14:paraId="7736442E" w14:textId="77777777" w:rsidR="009B3026" w:rsidRDefault="009B3026" w:rsidP="006664AB">
            <w:pPr>
              <w:widowControl w:val="0"/>
              <w:pBdr>
                <w:top w:val="nil"/>
                <w:left w:val="nil"/>
                <w:bottom w:val="nil"/>
                <w:right w:val="nil"/>
                <w:between w:val="nil"/>
              </w:pBdr>
            </w:pPr>
            <w:r>
              <w:t xml:space="preserve">Visie op toetsen is vastgelegd in toetsbeleid. De plaats van het assessment hierin is passend. </w:t>
            </w:r>
          </w:p>
          <w:p w14:paraId="5DAB6C7B" w14:textId="77777777" w:rsidR="009B3026" w:rsidRDefault="009B3026" w:rsidP="006664AB">
            <w:pPr>
              <w:widowControl w:val="0"/>
              <w:pBdr>
                <w:top w:val="nil"/>
                <w:left w:val="nil"/>
                <w:bottom w:val="nil"/>
                <w:right w:val="nil"/>
                <w:between w:val="nil"/>
              </w:pBdr>
            </w:pPr>
          </w:p>
          <w:p w14:paraId="2205CB69" w14:textId="77777777" w:rsidR="009B3026" w:rsidRDefault="009B3026" w:rsidP="006664AB">
            <w:pPr>
              <w:widowControl w:val="0"/>
              <w:pBdr>
                <w:top w:val="nil"/>
                <w:left w:val="nil"/>
                <w:bottom w:val="nil"/>
                <w:right w:val="nil"/>
                <w:between w:val="nil"/>
              </w:pBdr>
            </w:pPr>
            <w:r>
              <w:t xml:space="preserve">Er is een duidelijke samenhang tussen de verschillende toetsvormen en de plaats van assessments in het gehele toetsprogramma (bijvoorbeeld wel/niet concentrisch). </w:t>
            </w:r>
          </w:p>
          <w:p w14:paraId="02EB378F" w14:textId="77777777" w:rsidR="009B3026" w:rsidRDefault="009B3026" w:rsidP="006664AB">
            <w:pPr>
              <w:widowControl w:val="0"/>
              <w:pBdr>
                <w:top w:val="nil"/>
                <w:left w:val="nil"/>
                <w:bottom w:val="nil"/>
                <w:right w:val="nil"/>
                <w:between w:val="nil"/>
              </w:pBdr>
            </w:pPr>
          </w:p>
          <w:p w14:paraId="2C9775F8" w14:textId="77777777" w:rsidR="009B3026" w:rsidRDefault="009B3026" w:rsidP="006664AB">
            <w:pPr>
              <w:widowControl w:val="0"/>
              <w:pBdr>
                <w:top w:val="nil"/>
                <w:left w:val="nil"/>
                <w:bottom w:val="nil"/>
                <w:right w:val="nil"/>
                <w:between w:val="nil"/>
              </w:pBdr>
            </w:pPr>
            <w:r>
              <w:t xml:space="preserve">Er is sprake van een heldere relatie tussen de eindkwalificaties en de leeruitkomsten op het betreffende niveau. </w:t>
            </w:r>
          </w:p>
          <w:p w14:paraId="6A05A809" w14:textId="77777777" w:rsidR="009B3026" w:rsidRDefault="009B3026" w:rsidP="006664AB">
            <w:pPr>
              <w:widowControl w:val="0"/>
              <w:pBdr>
                <w:top w:val="nil"/>
                <w:left w:val="nil"/>
                <w:bottom w:val="nil"/>
                <w:right w:val="nil"/>
                <w:between w:val="nil"/>
              </w:pBdr>
            </w:pPr>
          </w:p>
          <w:p w14:paraId="17BB1EEC" w14:textId="77777777" w:rsidR="009B3026" w:rsidRDefault="009B3026" w:rsidP="006664AB">
            <w:pPr>
              <w:widowControl w:val="0"/>
              <w:pBdr>
                <w:top w:val="nil"/>
                <w:left w:val="nil"/>
                <w:bottom w:val="nil"/>
                <w:right w:val="nil"/>
                <w:between w:val="nil"/>
              </w:pBdr>
            </w:pPr>
            <w:r>
              <w:t>Het assessment is vormgegeven volgens het principe van Leerweg Onafhankelijk Toetsen (LOT).</w:t>
            </w:r>
          </w:p>
          <w:p w14:paraId="5A39BBE3" w14:textId="77777777" w:rsidR="009B3026" w:rsidRDefault="009B3026" w:rsidP="006664AB">
            <w:pPr>
              <w:widowControl w:val="0"/>
              <w:pBdr>
                <w:top w:val="nil"/>
                <w:left w:val="nil"/>
                <w:bottom w:val="nil"/>
                <w:right w:val="nil"/>
                <w:between w:val="nil"/>
              </w:pBdr>
            </w:pPr>
          </w:p>
          <w:p w14:paraId="78880328" w14:textId="77777777" w:rsidR="009B3026" w:rsidRDefault="009B3026" w:rsidP="006664AB">
            <w:pPr>
              <w:widowControl w:val="0"/>
              <w:pBdr>
                <w:top w:val="nil"/>
                <w:left w:val="nil"/>
                <w:bottom w:val="nil"/>
                <w:right w:val="nil"/>
                <w:between w:val="nil"/>
              </w:pBdr>
            </w:pPr>
            <w:r>
              <w:t>Er zijn onderbouwde keuzes gemaakt ten aanzien van:</w:t>
            </w:r>
          </w:p>
          <w:p w14:paraId="410AAC49" w14:textId="77777777" w:rsidR="009B3026" w:rsidRDefault="009B3026" w:rsidP="006664AB">
            <w:pPr>
              <w:widowControl w:val="0"/>
              <w:pBdr>
                <w:top w:val="nil"/>
                <w:left w:val="nil"/>
                <w:bottom w:val="nil"/>
                <w:right w:val="nil"/>
                <w:between w:val="nil"/>
              </w:pBdr>
            </w:pPr>
            <w:r>
              <w:t>- de onderdelen waaruit het assessment bestaat;</w:t>
            </w:r>
          </w:p>
          <w:p w14:paraId="2DDEDA73" w14:textId="77777777" w:rsidR="009B3026" w:rsidRDefault="009B3026" w:rsidP="006664AB">
            <w:pPr>
              <w:widowControl w:val="0"/>
              <w:pBdr>
                <w:top w:val="nil"/>
                <w:left w:val="nil"/>
                <w:bottom w:val="nil"/>
                <w:right w:val="nil"/>
                <w:between w:val="nil"/>
              </w:pBdr>
            </w:pPr>
            <w:r>
              <w:t>- eigenaarschap met betrekking tot de inhoud en vorm van het bewijsmateriaal (portfolio).</w:t>
            </w:r>
          </w:p>
          <w:p w14:paraId="41C8F396" w14:textId="77777777" w:rsidR="009B3026" w:rsidRDefault="009B3026" w:rsidP="006664AB">
            <w:pPr>
              <w:widowControl w:val="0"/>
              <w:pBdr>
                <w:top w:val="nil"/>
                <w:left w:val="nil"/>
                <w:bottom w:val="nil"/>
                <w:right w:val="nil"/>
                <w:between w:val="nil"/>
              </w:pBdr>
            </w:pPr>
          </w:p>
          <w:p w14:paraId="2A43797D" w14:textId="77777777" w:rsidR="009B3026" w:rsidRDefault="009B3026" w:rsidP="006664AB">
            <w:pPr>
              <w:widowControl w:val="0"/>
              <w:pBdr>
                <w:top w:val="nil"/>
                <w:left w:val="nil"/>
                <w:bottom w:val="nil"/>
                <w:right w:val="nil"/>
                <w:between w:val="nil"/>
              </w:pBdr>
            </w:pPr>
            <w:r>
              <w:t>Assessoren werken methodisch (WACKER/ STARR) vanuit een positief waarderende instelling (groene potlood).</w:t>
            </w:r>
          </w:p>
        </w:tc>
        <w:tc>
          <w:tcPr>
            <w:tcW w:w="1418" w:type="dxa"/>
          </w:tcPr>
          <w:p w14:paraId="756BFBE5" w14:textId="7CA3090E" w:rsidR="5ACF5D8C" w:rsidRDefault="5ACF5D8C" w:rsidP="5ACF5D8C">
            <w:pPr>
              <w:rPr>
                <w:i/>
                <w:iCs/>
              </w:rPr>
            </w:pPr>
          </w:p>
          <w:p w14:paraId="71510C36" w14:textId="77777777" w:rsidR="009B3026" w:rsidRPr="00865452" w:rsidRDefault="009B3026" w:rsidP="006664AB">
            <w:pPr>
              <w:rPr>
                <w:i/>
              </w:rPr>
            </w:pPr>
            <w:r w:rsidRPr="00865452">
              <w:rPr>
                <w:i/>
              </w:rPr>
              <w:t>Constructie en uitvoering</w:t>
            </w:r>
          </w:p>
        </w:tc>
        <w:tc>
          <w:tcPr>
            <w:tcW w:w="481" w:type="dxa"/>
          </w:tcPr>
          <w:p w14:paraId="649841BE" w14:textId="77777777" w:rsidR="009B3026" w:rsidRDefault="5ACF5D8C" w:rsidP="5ACF5D8C">
            <w:pPr>
              <w:jc w:val="center"/>
              <w:rPr>
                <w:i/>
                <w:iCs/>
              </w:rPr>
            </w:pPr>
            <w:r w:rsidRPr="5ACF5D8C">
              <w:rPr>
                <w:i/>
                <w:iCs/>
              </w:rPr>
              <w:t>1</w:t>
            </w:r>
          </w:p>
        </w:tc>
        <w:tc>
          <w:tcPr>
            <w:tcW w:w="482" w:type="dxa"/>
          </w:tcPr>
          <w:p w14:paraId="18F999B5" w14:textId="77777777" w:rsidR="009B3026" w:rsidRDefault="5ACF5D8C" w:rsidP="5ACF5D8C">
            <w:pPr>
              <w:jc w:val="center"/>
              <w:rPr>
                <w:i/>
                <w:iCs/>
              </w:rPr>
            </w:pPr>
            <w:r w:rsidRPr="5ACF5D8C">
              <w:rPr>
                <w:i/>
                <w:iCs/>
              </w:rPr>
              <w:t>2</w:t>
            </w:r>
          </w:p>
        </w:tc>
        <w:tc>
          <w:tcPr>
            <w:tcW w:w="482" w:type="dxa"/>
          </w:tcPr>
          <w:p w14:paraId="5FCD5EC4" w14:textId="77777777" w:rsidR="009B3026" w:rsidRDefault="5ACF5D8C" w:rsidP="5ACF5D8C">
            <w:pPr>
              <w:jc w:val="center"/>
              <w:rPr>
                <w:i/>
                <w:iCs/>
              </w:rPr>
            </w:pPr>
            <w:r w:rsidRPr="5ACF5D8C">
              <w:rPr>
                <w:i/>
                <w:iCs/>
              </w:rPr>
              <w:t>3</w:t>
            </w:r>
          </w:p>
        </w:tc>
        <w:tc>
          <w:tcPr>
            <w:tcW w:w="482" w:type="dxa"/>
          </w:tcPr>
          <w:p w14:paraId="2598DEE6" w14:textId="77777777" w:rsidR="009B3026" w:rsidRDefault="5ACF5D8C" w:rsidP="5ACF5D8C">
            <w:pPr>
              <w:jc w:val="center"/>
              <w:rPr>
                <w:i/>
                <w:iCs/>
              </w:rPr>
            </w:pPr>
            <w:r w:rsidRPr="5ACF5D8C">
              <w:rPr>
                <w:i/>
                <w:iCs/>
              </w:rPr>
              <w:t>4</w:t>
            </w:r>
          </w:p>
        </w:tc>
        <w:tc>
          <w:tcPr>
            <w:tcW w:w="482" w:type="dxa"/>
          </w:tcPr>
          <w:p w14:paraId="78941E47" w14:textId="77777777" w:rsidR="009B3026" w:rsidRDefault="5ACF5D8C" w:rsidP="5ACF5D8C">
            <w:pPr>
              <w:jc w:val="center"/>
              <w:rPr>
                <w:i/>
                <w:iCs/>
              </w:rPr>
            </w:pPr>
            <w:r w:rsidRPr="5ACF5D8C">
              <w:rPr>
                <w:i/>
                <w:iCs/>
              </w:rPr>
              <w:t>5</w:t>
            </w:r>
          </w:p>
        </w:tc>
      </w:tr>
      <w:tr w:rsidR="009B3026" w14:paraId="4C1FC1A6" w14:textId="77777777" w:rsidTr="5ACF5D8C">
        <w:tc>
          <w:tcPr>
            <w:tcW w:w="9072" w:type="dxa"/>
            <w:gridSpan w:val="8"/>
          </w:tcPr>
          <w:p w14:paraId="578EAF81" w14:textId="77777777" w:rsidR="009B3026" w:rsidRDefault="009B3026" w:rsidP="006664AB">
            <w:r>
              <w:t xml:space="preserve">Opmerkingen validiteit: </w:t>
            </w:r>
          </w:p>
          <w:p w14:paraId="72A3D3EC" w14:textId="77777777" w:rsidR="009B3026" w:rsidRDefault="009B3026" w:rsidP="006664AB"/>
          <w:p w14:paraId="0D0B940D" w14:textId="77777777" w:rsidR="009B3026" w:rsidRDefault="009B3026" w:rsidP="006664AB"/>
        </w:tc>
      </w:tr>
    </w:tbl>
    <w:p w14:paraId="0E27B00A" w14:textId="77777777" w:rsidR="009B3026" w:rsidRDefault="009B3026"/>
    <w:p w14:paraId="60061E4C" w14:textId="77777777" w:rsidR="009B3026" w:rsidRDefault="009B3026">
      <w:r>
        <w:br w:type="page"/>
      </w:r>
    </w:p>
    <w:p w14:paraId="44EAFD9C" w14:textId="77777777" w:rsidR="009B3026" w:rsidRDefault="009B3026"/>
    <w:tbl>
      <w:tblPr>
        <w:tblStyle w:val="Tabelraster"/>
        <w:tblW w:w="9072" w:type="dxa"/>
        <w:tblInd w:w="-5" w:type="dxa"/>
        <w:tblLayout w:type="fixed"/>
        <w:tblLook w:val="04A0" w:firstRow="1" w:lastRow="0" w:firstColumn="1" w:lastColumn="0" w:noHBand="0" w:noVBand="1"/>
      </w:tblPr>
      <w:tblGrid>
        <w:gridCol w:w="1134"/>
        <w:gridCol w:w="4111"/>
        <w:gridCol w:w="1418"/>
        <w:gridCol w:w="481"/>
        <w:gridCol w:w="482"/>
        <w:gridCol w:w="482"/>
        <w:gridCol w:w="482"/>
        <w:gridCol w:w="482"/>
      </w:tblGrid>
      <w:tr w:rsidR="008C39BC" w14:paraId="2BA4F13F" w14:textId="77777777" w:rsidTr="5ACF5D8C">
        <w:tc>
          <w:tcPr>
            <w:tcW w:w="1134" w:type="dxa"/>
          </w:tcPr>
          <w:p w14:paraId="5DE82FF9" w14:textId="77777777" w:rsidR="008C39BC" w:rsidRPr="00865452" w:rsidRDefault="008C39BC" w:rsidP="008C39BC">
            <w:pPr>
              <w:rPr>
                <w:b/>
              </w:rPr>
            </w:pPr>
            <w:r w:rsidRPr="00865452">
              <w:rPr>
                <w:b/>
              </w:rPr>
              <w:t>Kwaliteits-aspect:</w:t>
            </w:r>
          </w:p>
        </w:tc>
        <w:tc>
          <w:tcPr>
            <w:tcW w:w="4111" w:type="dxa"/>
          </w:tcPr>
          <w:p w14:paraId="50C3619E" w14:textId="77777777" w:rsidR="008C39BC" w:rsidRPr="00865452" w:rsidRDefault="008C39BC" w:rsidP="008C39BC">
            <w:pPr>
              <w:rPr>
                <w:b/>
              </w:rPr>
            </w:pPr>
            <w:r w:rsidRPr="00865452">
              <w:rPr>
                <w:b/>
              </w:rPr>
              <w:t>Indicatoren specifiek voor assessments (volgens bovenstaande definitie):</w:t>
            </w:r>
          </w:p>
        </w:tc>
        <w:tc>
          <w:tcPr>
            <w:tcW w:w="1418" w:type="dxa"/>
          </w:tcPr>
          <w:p w14:paraId="62D90443" w14:textId="77777777" w:rsidR="008C39BC" w:rsidRPr="00865452" w:rsidRDefault="008C39BC" w:rsidP="008C39BC">
            <w:pPr>
              <w:rPr>
                <w:b/>
              </w:rPr>
            </w:pPr>
            <w:r w:rsidRPr="00865452">
              <w:rPr>
                <w:b/>
              </w:rPr>
              <w:t>Stappen in de toetscyclus:</w:t>
            </w:r>
          </w:p>
        </w:tc>
        <w:tc>
          <w:tcPr>
            <w:tcW w:w="2409" w:type="dxa"/>
            <w:gridSpan w:val="5"/>
          </w:tcPr>
          <w:p w14:paraId="70D770DB" w14:textId="77777777" w:rsidR="008C39BC" w:rsidRPr="00865452" w:rsidRDefault="008C39BC" w:rsidP="008C39BC">
            <w:pPr>
              <w:rPr>
                <w:b/>
                <w:sz w:val="18"/>
                <w:szCs w:val="18"/>
              </w:rPr>
            </w:pPr>
            <w:r w:rsidRPr="00865452">
              <w:rPr>
                <w:b/>
              </w:rPr>
              <w:t xml:space="preserve">Score: </w:t>
            </w:r>
            <w:r w:rsidRPr="00865452">
              <w:rPr>
                <w:b/>
                <w:sz w:val="18"/>
                <w:szCs w:val="18"/>
              </w:rPr>
              <w:t>in welke mate is hieraan voldaan:</w:t>
            </w:r>
          </w:p>
          <w:p w14:paraId="0F5FD82A" w14:textId="77777777" w:rsidR="008C39BC" w:rsidRDefault="008C39BC" w:rsidP="008C39BC">
            <w:r w:rsidRPr="00865452">
              <w:rPr>
                <w:b/>
                <w:sz w:val="18"/>
                <w:szCs w:val="18"/>
              </w:rPr>
              <w:t>(1: niet voldaan, 5 helemaal voldaan)</w:t>
            </w:r>
          </w:p>
        </w:tc>
      </w:tr>
      <w:tr w:rsidR="008C39BC" w14:paraId="1E3C4E85" w14:textId="77777777" w:rsidTr="5ACF5D8C">
        <w:tc>
          <w:tcPr>
            <w:tcW w:w="1134" w:type="dxa"/>
          </w:tcPr>
          <w:p w14:paraId="4ECC42B9" w14:textId="54B583B2" w:rsidR="5ACF5D8C" w:rsidRDefault="5ACF5D8C"/>
          <w:p w14:paraId="4C3D3D21" w14:textId="77777777" w:rsidR="008C39BC" w:rsidRDefault="008C39BC" w:rsidP="008C39BC">
            <w:r>
              <w:t>Betrouw-baarheid</w:t>
            </w:r>
          </w:p>
        </w:tc>
        <w:tc>
          <w:tcPr>
            <w:tcW w:w="4111" w:type="dxa"/>
          </w:tcPr>
          <w:p w14:paraId="30A5F6D3" w14:textId="2AE3624C" w:rsidR="5ACF5D8C" w:rsidRDefault="5ACF5D8C"/>
          <w:p w14:paraId="793C14B7" w14:textId="77777777" w:rsidR="008C39BC" w:rsidRDefault="008C39BC" w:rsidP="008C39BC">
            <w:pPr>
              <w:widowControl w:val="0"/>
              <w:pBdr>
                <w:top w:val="nil"/>
                <w:left w:val="nil"/>
                <w:bottom w:val="nil"/>
                <w:right w:val="nil"/>
                <w:between w:val="nil"/>
              </w:pBdr>
            </w:pPr>
            <w:r>
              <w:t xml:space="preserve">Er zijn onderbouwde keuzes gemaakt ten aanzien van: </w:t>
            </w:r>
          </w:p>
          <w:p w14:paraId="11B9B4F2" w14:textId="77777777" w:rsidR="008C39BC" w:rsidRDefault="008C39BC" w:rsidP="008C39BC">
            <w:pPr>
              <w:widowControl w:val="0"/>
              <w:pBdr>
                <w:top w:val="nil"/>
                <w:left w:val="nil"/>
                <w:bottom w:val="nil"/>
                <w:right w:val="nil"/>
                <w:between w:val="nil"/>
              </w:pBdr>
            </w:pPr>
            <w:r>
              <w:t>- de scheiding van waarneming en waardering</w:t>
            </w:r>
          </w:p>
          <w:p w14:paraId="739E76DE" w14:textId="77777777" w:rsidR="008C39BC" w:rsidRDefault="008C39BC" w:rsidP="008C39BC">
            <w:pPr>
              <w:widowControl w:val="0"/>
              <w:pBdr>
                <w:top w:val="nil"/>
                <w:left w:val="nil"/>
                <w:bottom w:val="nil"/>
                <w:right w:val="nil"/>
                <w:between w:val="nil"/>
              </w:pBdr>
            </w:pPr>
            <w:r>
              <w:t>- authenticiteit versus haalbaarheid, aantal   bewijzen;</w:t>
            </w:r>
          </w:p>
          <w:p w14:paraId="52A062F7" w14:textId="77777777" w:rsidR="008C39BC" w:rsidRDefault="008C39BC" w:rsidP="008C39BC">
            <w:pPr>
              <w:widowControl w:val="0"/>
              <w:pBdr>
                <w:top w:val="nil"/>
                <w:left w:val="nil"/>
                <w:bottom w:val="nil"/>
                <w:right w:val="nil"/>
                <w:between w:val="nil"/>
              </w:pBdr>
            </w:pPr>
            <w:r>
              <w:t>- eventuele voorwaardelijke aspecten/ingangseisen.</w:t>
            </w:r>
          </w:p>
          <w:p w14:paraId="4B94D5A5" w14:textId="77777777" w:rsidR="008C39BC" w:rsidRDefault="008C39BC" w:rsidP="008C39BC">
            <w:pPr>
              <w:widowControl w:val="0"/>
              <w:pBdr>
                <w:top w:val="nil"/>
                <w:left w:val="nil"/>
                <w:bottom w:val="nil"/>
                <w:right w:val="nil"/>
                <w:between w:val="nil"/>
              </w:pBdr>
            </w:pPr>
          </w:p>
          <w:p w14:paraId="10FD008A" w14:textId="77777777" w:rsidR="008C39BC" w:rsidRDefault="008C39BC" w:rsidP="008C39BC">
            <w:pPr>
              <w:widowControl w:val="0"/>
              <w:pBdr>
                <w:top w:val="nil"/>
                <w:left w:val="nil"/>
                <w:bottom w:val="nil"/>
                <w:right w:val="nil"/>
                <w:between w:val="nil"/>
              </w:pBdr>
            </w:pPr>
            <w:r>
              <w:t xml:space="preserve">De uitvoering verloopt conform de onderbouwde keuzes. </w:t>
            </w:r>
          </w:p>
          <w:p w14:paraId="3DEEC669" w14:textId="77777777" w:rsidR="008C39BC" w:rsidRDefault="008C39BC" w:rsidP="008C39BC">
            <w:pPr>
              <w:widowControl w:val="0"/>
              <w:pBdr>
                <w:top w:val="nil"/>
                <w:left w:val="nil"/>
                <w:bottom w:val="nil"/>
                <w:right w:val="nil"/>
                <w:between w:val="nil"/>
              </w:pBdr>
            </w:pPr>
          </w:p>
          <w:p w14:paraId="66FAB57A" w14:textId="77777777" w:rsidR="008C39BC" w:rsidRDefault="5ACF5D8C" w:rsidP="008C39BC">
            <w:pPr>
              <w:widowControl w:val="0"/>
              <w:pBdr>
                <w:top w:val="nil"/>
                <w:left w:val="nil"/>
                <w:bottom w:val="nil"/>
                <w:right w:val="nil"/>
                <w:between w:val="nil"/>
              </w:pBdr>
            </w:pPr>
            <w:r>
              <w:t xml:space="preserve"> Er zijn heldere beoordelingscriteria (analytisch of holistisch, afhankelijk van onderbouwde keuze).</w:t>
            </w:r>
          </w:p>
          <w:p w14:paraId="1EBF5C37" w14:textId="7A15F593" w:rsidR="5ACF5D8C" w:rsidRDefault="5ACF5D8C"/>
          <w:p w14:paraId="74C9B5EB" w14:textId="77777777" w:rsidR="008C39BC" w:rsidRDefault="008C39BC" w:rsidP="008C39BC">
            <w:pPr>
              <w:widowControl w:val="0"/>
              <w:pBdr>
                <w:top w:val="nil"/>
                <w:left w:val="nil"/>
                <w:bottom w:val="nil"/>
                <w:right w:val="nil"/>
                <w:between w:val="nil"/>
              </w:pBdr>
            </w:pPr>
            <w:r>
              <w:t>De methode van scoren: rubric/indicatoren/… is geëxpliciteerd.</w:t>
            </w:r>
          </w:p>
          <w:p w14:paraId="3656B9AB" w14:textId="77777777" w:rsidR="008C39BC" w:rsidRDefault="008C39BC" w:rsidP="008C39BC">
            <w:pPr>
              <w:widowControl w:val="0"/>
              <w:pBdr>
                <w:top w:val="nil"/>
                <w:left w:val="nil"/>
                <w:bottom w:val="nil"/>
                <w:right w:val="nil"/>
                <w:between w:val="nil"/>
              </w:pBdr>
            </w:pPr>
          </w:p>
          <w:p w14:paraId="53543AC2" w14:textId="2B994BFA" w:rsidR="008C39BC" w:rsidRDefault="5ACF5D8C" w:rsidP="008C39BC">
            <w:pPr>
              <w:widowControl w:val="0"/>
              <w:pBdr>
                <w:top w:val="nil"/>
                <w:left w:val="nil"/>
                <w:bottom w:val="nil"/>
                <w:right w:val="nil"/>
                <w:between w:val="nil"/>
              </w:pBdr>
            </w:pPr>
            <w:r>
              <w:t>Cesuur en weging van eventuele onderdelen zijn geëxpliciteerd.</w:t>
            </w:r>
          </w:p>
          <w:p w14:paraId="45FB0818" w14:textId="77777777" w:rsidR="008C39BC" w:rsidRDefault="008C39BC" w:rsidP="008C39BC">
            <w:pPr>
              <w:widowControl w:val="0"/>
              <w:pBdr>
                <w:top w:val="nil"/>
                <w:left w:val="nil"/>
                <w:bottom w:val="nil"/>
                <w:right w:val="nil"/>
                <w:between w:val="nil"/>
              </w:pBdr>
            </w:pPr>
          </w:p>
          <w:p w14:paraId="755CC558" w14:textId="77777777" w:rsidR="008C39BC" w:rsidRDefault="5ACF5D8C" w:rsidP="008C39BC">
            <w:pPr>
              <w:widowControl w:val="0"/>
              <w:pBdr>
                <w:top w:val="nil"/>
                <w:left w:val="nil"/>
                <w:bottom w:val="nil"/>
                <w:right w:val="nil"/>
                <w:between w:val="nil"/>
              </w:pBdr>
            </w:pPr>
            <w:r>
              <w:t>Er wordt regelmatig gekalibreerd.</w:t>
            </w:r>
          </w:p>
          <w:p w14:paraId="02E2C3D6" w14:textId="7551224B" w:rsidR="5ACF5D8C" w:rsidRDefault="5ACF5D8C"/>
          <w:p w14:paraId="42874A3D" w14:textId="77777777" w:rsidR="008C39BC" w:rsidRDefault="008C39BC" w:rsidP="008C39BC">
            <w:pPr>
              <w:widowControl w:val="0"/>
              <w:pBdr>
                <w:top w:val="nil"/>
                <w:left w:val="nil"/>
                <w:bottom w:val="nil"/>
                <w:right w:val="nil"/>
                <w:between w:val="nil"/>
              </w:pBdr>
            </w:pPr>
            <w:r>
              <w:t>De assessments vinden plaats in steeds wisselende samenstelling van assessoren-koppels.</w:t>
            </w:r>
          </w:p>
          <w:p w14:paraId="049F31CB" w14:textId="77777777" w:rsidR="008C39BC" w:rsidRDefault="008C39BC" w:rsidP="008C39BC">
            <w:pPr>
              <w:widowControl w:val="0"/>
              <w:pBdr>
                <w:top w:val="nil"/>
                <w:left w:val="nil"/>
                <w:bottom w:val="nil"/>
                <w:right w:val="nil"/>
                <w:between w:val="nil"/>
              </w:pBdr>
            </w:pPr>
          </w:p>
          <w:p w14:paraId="3FCEAE30" w14:textId="77777777" w:rsidR="008C39BC" w:rsidRDefault="008C39BC" w:rsidP="008C39BC">
            <w:pPr>
              <w:widowControl w:val="0"/>
              <w:pBdr>
                <w:top w:val="nil"/>
                <w:left w:val="nil"/>
                <w:bottom w:val="nil"/>
                <w:right w:val="nil"/>
                <w:between w:val="nil"/>
              </w:pBdr>
            </w:pPr>
            <w:r>
              <w:t>Er is een assessorenhandleiding waarin de assessmentmethode staat beschreven (WACKER/STARR).</w:t>
            </w:r>
          </w:p>
        </w:tc>
        <w:tc>
          <w:tcPr>
            <w:tcW w:w="1418" w:type="dxa"/>
          </w:tcPr>
          <w:p w14:paraId="3A5E3871" w14:textId="28556A31" w:rsidR="5ACF5D8C" w:rsidRDefault="5ACF5D8C" w:rsidP="5ACF5D8C">
            <w:pPr>
              <w:rPr>
                <w:i/>
                <w:iCs/>
              </w:rPr>
            </w:pPr>
          </w:p>
          <w:p w14:paraId="7298B7A8" w14:textId="77777777" w:rsidR="008C39BC" w:rsidRPr="00865452" w:rsidRDefault="008C39BC" w:rsidP="008C39BC">
            <w:pPr>
              <w:rPr>
                <w:i/>
              </w:rPr>
            </w:pPr>
            <w:r w:rsidRPr="00865452">
              <w:rPr>
                <w:i/>
              </w:rPr>
              <w:t>Constructie en uitvoering</w:t>
            </w:r>
          </w:p>
        </w:tc>
        <w:tc>
          <w:tcPr>
            <w:tcW w:w="481" w:type="dxa"/>
          </w:tcPr>
          <w:p w14:paraId="56B20A0C" w14:textId="77777777" w:rsidR="008C39BC" w:rsidRDefault="5ACF5D8C" w:rsidP="5ACF5D8C">
            <w:pPr>
              <w:jc w:val="center"/>
              <w:rPr>
                <w:i/>
                <w:iCs/>
              </w:rPr>
            </w:pPr>
            <w:r w:rsidRPr="5ACF5D8C">
              <w:rPr>
                <w:i/>
                <w:iCs/>
              </w:rPr>
              <w:t>1</w:t>
            </w:r>
          </w:p>
        </w:tc>
        <w:tc>
          <w:tcPr>
            <w:tcW w:w="482" w:type="dxa"/>
          </w:tcPr>
          <w:p w14:paraId="7144751B" w14:textId="77777777" w:rsidR="008C39BC" w:rsidRDefault="5ACF5D8C" w:rsidP="5ACF5D8C">
            <w:pPr>
              <w:jc w:val="center"/>
              <w:rPr>
                <w:i/>
                <w:iCs/>
              </w:rPr>
            </w:pPr>
            <w:r w:rsidRPr="5ACF5D8C">
              <w:rPr>
                <w:i/>
                <w:iCs/>
              </w:rPr>
              <w:t>2</w:t>
            </w:r>
          </w:p>
        </w:tc>
        <w:tc>
          <w:tcPr>
            <w:tcW w:w="482" w:type="dxa"/>
          </w:tcPr>
          <w:p w14:paraId="0B778152" w14:textId="77777777" w:rsidR="008C39BC" w:rsidRDefault="5ACF5D8C" w:rsidP="5ACF5D8C">
            <w:pPr>
              <w:jc w:val="center"/>
              <w:rPr>
                <w:i/>
                <w:iCs/>
              </w:rPr>
            </w:pPr>
            <w:r w:rsidRPr="5ACF5D8C">
              <w:rPr>
                <w:i/>
                <w:iCs/>
              </w:rPr>
              <w:t>3</w:t>
            </w:r>
          </w:p>
        </w:tc>
        <w:tc>
          <w:tcPr>
            <w:tcW w:w="482" w:type="dxa"/>
          </w:tcPr>
          <w:p w14:paraId="279935FF" w14:textId="77777777" w:rsidR="008C39BC" w:rsidRDefault="5ACF5D8C" w:rsidP="5ACF5D8C">
            <w:pPr>
              <w:jc w:val="center"/>
              <w:rPr>
                <w:i/>
                <w:iCs/>
              </w:rPr>
            </w:pPr>
            <w:r w:rsidRPr="5ACF5D8C">
              <w:rPr>
                <w:i/>
                <w:iCs/>
              </w:rPr>
              <w:t>4</w:t>
            </w:r>
          </w:p>
        </w:tc>
        <w:tc>
          <w:tcPr>
            <w:tcW w:w="482" w:type="dxa"/>
          </w:tcPr>
          <w:p w14:paraId="44240AAE" w14:textId="77777777" w:rsidR="008C39BC" w:rsidRDefault="5ACF5D8C" w:rsidP="5ACF5D8C">
            <w:pPr>
              <w:jc w:val="center"/>
              <w:rPr>
                <w:i/>
                <w:iCs/>
              </w:rPr>
            </w:pPr>
            <w:r w:rsidRPr="5ACF5D8C">
              <w:rPr>
                <w:i/>
                <w:iCs/>
              </w:rPr>
              <w:t>5</w:t>
            </w:r>
          </w:p>
        </w:tc>
      </w:tr>
      <w:tr w:rsidR="008C39BC" w14:paraId="0C77199D" w14:textId="77777777" w:rsidTr="5ACF5D8C">
        <w:tc>
          <w:tcPr>
            <w:tcW w:w="9072" w:type="dxa"/>
            <w:gridSpan w:val="8"/>
          </w:tcPr>
          <w:p w14:paraId="770C987D" w14:textId="77777777" w:rsidR="008C39BC" w:rsidRDefault="008C39BC" w:rsidP="008C39BC">
            <w:r>
              <w:t>Opmerkingen betrouwbaarheid:</w:t>
            </w:r>
          </w:p>
          <w:p w14:paraId="53128261" w14:textId="77777777" w:rsidR="008C39BC" w:rsidRDefault="008C39BC" w:rsidP="008C39BC"/>
          <w:p w14:paraId="62486C05" w14:textId="77777777" w:rsidR="008C39BC" w:rsidRDefault="008C39BC" w:rsidP="008C39BC"/>
          <w:p w14:paraId="4101652C" w14:textId="77777777" w:rsidR="008C39BC" w:rsidRDefault="008C39BC" w:rsidP="008C39BC"/>
          <w:p w14:paraId="4B99056E" w14:textId="77777777" w:rsidR="008C39BC" w:rsidRDefault="008C39BC" w:rsidP="008C39BC"/>
        </w:tc>
      </w:tr>
    </w:tbl>
    <w:p w14:paraId="1299C43A" w14:textId="77777777" w:rsidR="009B3026" w:rsidRDefault="009B3026"/>
    <w:p w14:paraId="4DDBEF00" w14:textId="77777777" w:rsidR="009B3026" w:rsidRDefault="009B3026">
      <w:r>
        <w:br w:type="page"/>
      </w:r>
    </w:p>
    <w:tbl>
      <w:tblPr>
        <w:tblStyle w:val="Tabelraster"/>
        <w:tblW w:w="9072" w:type="dxa"/>
        <w:tblInd w:w="-5" w:type="dxa"/>
        <w:tblLayout w:type="fixed"/>
        <w:tblLook w:val="04A0" w:firstRow="1" w:lastRow="0" w:firstColumn="1" w:lastColumn="0" w:noHBand="0" w:noVBand="1"/>
      </w:tblPr>
      <w:tblGrid>
        <w:gridCol w:w="1134"/>
        <w:gridCol w:w="4111"/>
        <w:gridCol w:w="1418"/>
        <w:gridCol w:w="481"/>
        <w:gridCol w:w="482"/>
        <w:gridCol w:w="482"/>
        <w:gridCol w:w="482"/>
        <w:gridCol w:w="482"/>
      </w:tblGrid>
      <w:tr w:rsidR="008C39BC" w:rsidRPr="00865452" w14:paraId="5C9F6BCD" w14:textId="77777777" w:rsidTr="5ACF5D8C">
        <w:tc>
          <w:tcPr>
            <w:tcW w:w="1134" w:type="dxa"/>
          </w:tcPr>
          <w:p w14:paraId="53EB8406" w14:textId="77777777" w:rsidR="008C39BC" w:rsidRPr="00865452" w:rsidRDefault="008C39BC" w:rsidP="000D22CF">
            <w:pPr>
              <w:rPr>
                <w:b/>
              </w:rPr>
            </w:pPr>
            <w:r w:rsidRPr="00865452">
              <w:rPr>
                <w:b/>
              </w:rPr>
              <w:lastRenderedPageBreak/>
              <w:t>Kwaliteits-aspect:</w:t>
            </w:r>
          </w:p>
        </w:tc>
        <w:tc>
          <w:tcPr>
            <w:tcW w:w="4111" w:type="dxa"/>
          </w:tcPr>
          <w:p w14:paraId="4A3E9848" w14:textId="77777777" w:rsidR="008C39BC" w:rsidRPr="00865452" w:rsidRDefault="008C39BC" w:rsidP="000D22CF">
            <w:pPr>
              <w:rPr>
                <w:b/>
              </w:rPr>
            </w:pPr>
            <w:r w:rsidRPr="00865452">
              <w:rPr>
                <w:b/>
              </w:rPr>
              <w:t>Indicatoren specifiek voor assessments (volgens bovenstaande definitie):</w:t>
            </w:r>
          </w:p>
        </w:tc>
        <w:tc>
          <w:tcPr>
            <w:tcW w:w="1418" w:type="dxa"/>
          </w:tcPr>
          <w:p w14:paraId="56E77644" w14:textId="77777777" w:rsidR="008C39BC" w:rsidRPr="00865452" w:rsidRDefault="008C39BC" w:rsidP="000D22CF">
            <w:pPr>
              <w:rPr>
                <w:b/>
              </w:rPr>
            </w:pPr>
            <w:r w:rsidRPr="00865452">
              <w:rPr>
                <w:b/>
              </w:rPr>
              <w:t>Stappen in de toetscyclus:</w:t>
            </w:r>
          </w:p>
        </w:tc>
        <w:tc>
          <w:tcPr>
            <w:tcW w:w="2409" w:type="dxa"/>
            <w:gridSpan w:val="5"/>
          </w:tcPr>
          <w:p w14:paraId="2D6D0454" w14:textId="77777777" w:rsidR="008C39BC" w:rsidRPr="00865452" w:rsidRDefault="008C39BC" w:rsidP="000D22CF">
            <w:pPr>
              <w:rPr>
                <w:b/>
                <w:sz w:val="18"/>
                <w:szCs w:val="18"/>
              </w:rPr>
            </w:pPr>
            <w:r w:rsidRPr="00865452">
              <w:rPr>
                <w:b/>
              </w:rPr>
              <w:t xml:space="preserve">Score: </w:t>
            </w:r>
            <w:r w:rsidRPr="00865452">
              <w:rPr>
                <w:b/>
                <w:sz w:val="18"/>
                <w:szCs w:val="18"/>
              </w:rPr>
              <w:t>in welke mate is hieraan voldaan:</w:t>
            </w:r>
          </w:p>
          <w:p w14:paraId="58CDED4D" w14:textId="77777777" w:rsidR="008C39BC" w:rsidRPr="00865452" w:rsidRDefault="008C39BC" w:rsidP="000D22CF">
            <w:pPr>
              <w:rPr>
                <w:b/>
              </w:rPr>
            </w:pPr>
            <w:r w:rsidRPr="00865452">
              <w:rPr>
                <w:b/>
                <w:sz w:val="18"/>
                <w:szCs w:val="18"/>
              </w:rPr>
              <w:t>(1: niet voldaan, 5 helemaal voldaan)</w:t>
            </w:r>
          </w:p>
        </w:tc>
      </w:tr>
      <w:tr w:rsidR="009B3026" w14:paraId="2DDEBA02" w14:textId="77777777" w:rsidTr="5ACF5D8C">
        <w:tc>
          <w:tcPr>
            <w:tcW w:w="1134" w:type="dxa"/>
          </w:tcPr>
          <w:p w14:paraId="346F9A8C" w14:textId="094045AC" w:rsidR="5ACF5D8C" w:rsidRDefault="5ACF5D8C"/>
          <w:p w14:paraId="7794CA6E" w14:textId="77777777" w:rsidR="009B3026" w:rsidRDefault="009B3026" w:rsidP="006664AB">
            <w:r>
              <w:t>Toets-functies</w:t>
            </w:r>
          </w:p>
        </w:tc>
        <w:tc>
          <w:tcPr>
            <w:tcW w:w="4111" w:type="dxa"/>
          </w:tcPr>
          <w:p w14:paraId="3461D779" w14:textId="77777777" w:rsidR="009B3026" w:rsidRDefault="009B3026" w:rsidP="006664AB">
            <w:pPr>
              <w:widowControl w:val="0"/>
              <w:pBdr>
                <w:top w:val="nil"/>
                <w:left w:val="nil"/>
                <w:bottom w:val="nil"/>
                <w:right w:val="nil"/>
                <w:between w:val="nil"/>
              </w:pBdr>
            </w:pPr>
          </w:p>
          <w:p w14:paraId="128E060B" w14:textId="77777777" w:rsidR="009B3026" w:rsidRDefault="009B3026" w:rsidP="006664AB">
            <w:pPr>
              <w:widowControl w:val="0"/>
              <w:pBdr>
                <w:top w:val="nil"/>
                <w:left w:val="nil"/>
                <w:bottom w:val="nil"/>
                <w:right w:val="nil"/>
                <w:between w:val="nil"/>
              </w:pBdr>
            </w:pPr>
            <w:r>
              <w:t xml:space="preserve">Functie van toetsen is vastgelegd in toetsbeleid, plaats van assessment hierin is passend. </w:t>
            </w:r>
          </w:p>
          <w:p w14:paraId="3CF2D8B6" w14:textId="77777777" w:rsidR="009B3026" w:rsidRDefault="009B3026" w:rsidP="006664AB">
            <w:pPr>
              <w:widowControl w:val="0"/>
              <w:pBdr>
                <w:top w:val="nil"/>
                <w:left w:val="nil"/>
                <w:bottom w:val="nil"/>
                <w:right w:val="nil"/>
                <w:between w:val="nil"/>
              </w:pBdr>
            </w:pPr>
          </w:p>
          <w:p w14:paraId="4E24D065" w14:textId="77777777" w:rsidR="009B3026" w:rsidRDefault="009B3026" w:rsidP="006664AB">
            <w:pPr>
              <w:widowControl w:val="0"/>
              <w:pBdr>
                <w:top w:val="nil"/>
                <w:left w:val="nil"/>
                <w:bottom w:val="nil"/>
                <w:right w:val="nil"/>
                <w:between w:val="nil"/>
              </w:pBdr>
            </w:pPr>
            <w:r>
              <w:t xml:space="preserve">Leerfunctie: </w:t>
            </w:r>
          </w:p>
          <w:p w14:paraId="510870E9" w14:textId="77777777" w:rsidR="009B3026" w:rsidRPr="007F2797" w:rsidRDefault="009B3026" w:rsidP="006664AB">
            <w:pPr>
              <w:textAlignment w:val="baseline"/>
              <w:rPr>
                <w:rFonts w:eastAsia="Times New Roman"/>
                <w:color w:val="000000"/>
              </w:rPr>
            </w:pPr>
            <w:r>
              <w:rPr>
                <w:rFonts w:eastAsia="Times New Roman"/>
                <w:color w:val="000000"/>
              </w:rPr>
              <w:t>-Er is h</w:t>
            </w:r>
            <w:r w:rsidRPr="007F2797">
              <w:rPr>
                <w:rFonts w:eastAsia="Times New Roman"/>
                <w:color w:val="000000"/>
              </w:rPr>
              <w:t xml:space="preserve">elder beschreven waar, hoe en met wie studenten zich voorbereiden en eventueel kunnen oefenen. </w:t>
            </w:r>
          </w:p>
          <w:p w14:paraId="6B0D4E51" w14:textId="77777777" w:rsidR="009B3026" w:rsidRPr="00EF60F0" w:rsidRDefault="009B3026" w:rsidP="006664AB">
            <w:pPr>
              <w:textAlignment w:val="baseline"/>
              <w:rPr>
                <w:rFonts w:eastAsia="Times New Roman"/>
                <w:color w:val="000000"/>
              </w:rPr>
            </w:pPr>
            <w:r>
              <w:rPr>
                <w:rFonts w:eastAsia="Times New Roman"/>
                <w:color w:val="000000"/>
              </w:rPr>
              <w:t>-</w:t>
            </w:r>
            <w:r w:rsidRPr="00EF60F0">
              <w:rPr>
                <w:rFonts w:eastAsia="Times New Roman"/>
                <w:color w:val="000000"/>
              </w:rPr>
              <w:t>Tussentijds feedback op (onderdelen van</w:t>
            </w:r>
            <w:r>
              <w:rPr>
                <w:rFonts w:eastAsia="Times New Roman"/>
                <w:color w:val="000000"/>
              </w:rPr>
              <w:t xml:space="preserve"> en door wie gegeven</w:t>
            </w:r>
            <w:r w:rsidRPr="00EF60F0">
              <w:rPr>
                <w:rFonts w:eastAsia="Times New Roman"/>
                <w:color w:val="000000"/>
              </w:rPr>
              <w:t xml:space="preserve">) bewijsmateriaal </w:t>
            </w:r>
            <w:r>
              <w:rPr>
                <w:rFonts w:eastAsia="Times New Roman"/>
                <w:color w:val="000000"/>
              </w:rPr>
              <w:t xml:space="preserve">is </w:t>
            </w:r>
            <w:r w:rsidRPr="00EF60F0">
              <w:rPr>
                <w:rFonts w:eastAsia="Times New Roman"/>
                <w:color w:val="000000"/>
              </w:rPr>
              <w:t>beschikbaar voor studenten.</w:t>
            </w:r>
          </w:p>
          <w:p w14:paraId="1FCFCDCD" w14:textId="77777777" w:rsidR="009B3026" w:rsidRDefault="009B3026" w:rsidP="006664AB">
            <w:pPr>
              <w:widowControl w:val="0"/>
              <w:pBdr>
                <w:top w:val="nil"/>
                <w:left w:val="nil"/>
                <w:bottom w:val="nil"/>
                <w:right w:val="nil"/>
                <w:between w:val="nil"/>
              </w:pBdr>
            </w:pPr>
            <w:r>
              <w:t>-De feedback is rijk: waarderend oordeel en ontwikkeladvies.</w:t>
            </w:r>
          </w:p>
          <w:p w14:paraId="0FB78278" w14:textId="77777777" w:rsidR="009B3026" w:rsidRDefault="009B3026" w:rsidP="006664AB">
            <w:pPr>
              <w:widowControl w:val="0"/>
              <w:pBdr>
                <w:top w:val="nil"/>
                <w:left w:val="nil"/>
                <w:bottom w:val="nil"/>
                <w:right w:val="nil"/>
                <w:between w:val="nil"/>
              </w:pBdr>
            </w:pPr>
          </w:p>
          <w:p w14:paraId="06CF3EDE" w14:textId="77777777" w:rsidR="009B3026" w:rsidRDefault="009B3026" w:rsidP="006664AB">
            <w:r>
              <w:t xml:space="preserve">Onderwijseffect: </w:t>
            </w:r>
          </w:p>
          <w:p w14:paraId="26DFDE33" w14:textId="77777777" w:rsidR="009B3026" w:rsidRDefault="009B3026" w:rsidP="00090EC5">
            <w:r>
              <w:t>- Het assessment wordt standaard geëvalueerd (studentevaluatie, assessorenevaluaties, analyse van resultaten).</w:t>
            </w:r>
          </w:p>
          <w:p w14:paraId="7BE37C16" w14:textId="77777777" w:rsidR="009B3026" w:rsidRDefault="009B3026" w:rsidP="00090EC5">
            <w:r>
              <w:t>-  Uitkomsten worden gebruikt om verbeteracties te formuleren en uit te voeren (PDCA-cyclus).</w:t>
            </w:r>
          </w:p>
        </w:tc>
        <w:tc>
          <w:tcPr>
            <w:tcW w:w="1418" w:type="dxa"/>
          </w:tcPr>
          <w:p w14:paraId="10E3D731" w14:textId="138CA5E4" w:rsidR="5ACF5D8C" w:rsidRDefault="5ACF5D8C" w:rsidP="5ACF5D8C">
            <w:pPr>
              <w:rPr>
                <w:i/>
                <w:iCs/>
              </w:rPr>
            </w:pPr>
          </w:p>
          <w:p w14:paraId="09A1FCF4" w14:textId="77777777" w:rsidR="009B3026" w:rsidRPr="00865452" w:rsidRDefault="009B3026" w:rsidP="006664AB">
            <w:pPr>
              <w:rPr>
                <w:i/>
              </w:rPr>
            </w:pPr>
            <w:r w:rsidRPr="00865452">
              <w:rPr>
                <w:i/>
              </w:rPr>
              <w:t>Doel-bepaling, constructie en evaluatie.</w:t>
            </w:r>
          </w:p>
        </w:tc>
        <w:tc>
          <w:tcPr>
            <w:tcW w:w="481" w:type="dxa"/>
          </w:tcPr>
          <w:p w14:paraId="249FAAB8" w14:textId="77777777" w:rsidR="009B3026" w:rsidRDefault="5ACF5D8C" w:rsidP="5ACF5D8C">
            <w:pPr>
              <w:jc w:val="center"/>
              <w:rPr>
                <w:i/>
                <w:iCs/>
              </w:rPr>
            </w:pPr>
            <w:r w:rsidRPr="5ACF5D8C">
              <w:rPr>
                <w:i/>
                <w:iCs/>
              </w:rPr>
              <w:t>1</w:t>
            </w:r>
          </w:p>
        </w:tc>
        <w:tc>
          <w:tcPr>
            <w:tcW w:w="482" w:type="dxa"/>
          </w:tcPr>
          <w:p w14:paraId="78E884CA" w14:textId="77777777" w:rsidR="009B3026" w:rsidRDefault="5ACF5D8C" w:rsidP="5ACF5D8C">
            <w:pPr>
              <w:jc w:val="center"/>
              <w:rPr>
                <w:i/>
                <w:iCs/>
              </w:rPr>
            </w:pPr>
            <w:r w:rsidRPr="5ACF5D8C">
              <w:rPr>
                <w:i/>
                <w:iCs/>
              </w:rPr>
              <w:t>2</w:t>
            </w:r>
          </w:p>
        </w:tc>
        <w:tc>
          <w:tcPr>
            <w:tcW w:w="482" w:type="dxa"/>
          </w:tcPr>
          <w:p w14:paraId="7A036E3D" w14:textId="77777777" w:rsidR="009B3026" w:rsidRDefault="5ACF5D8C" w:rsidP="5ACF5D8C">
            <w:pPr>
              <w:jc w:val="center"/>
              <w:rPr>
                <w:i/>
                <w:iCs/>
              </w:rPr>
            </w:pPr>
            <w:r w:rsidRPr="5ACF5D8C">
              <w:rPr>
                <w:i/>
                <w:iCs/>
              </w:rPr>
              <w:t>3</w:t>
            </w:r>
          </w:p>
        </w:tc>
        <w:tc>
          <w:tcPr>
            <w:tcW w:w="482" w:type="dxa"/>
          </w:tcPr>
          <w:p w14:paraId="7C964D78" w14:textId="77777777" w:rsidR="009B3026" w:rsidRDefault="5ACF5D8C" w:rsidP="5ACF5D8C">
            <w:pPr>
              <w:jc w:val="center"/>
              <w:rPr>
                <w:i/>
                <w:iCs/>
              </w:rPr>
            </w:pPr>
            <w:r w:rsidRPr="5ACF5D8C">
              <w:rPr>
                <w:i/>
                <w:iCs/>
              </w:rPr>
              <w:t>4</w:t>
            </w:r>
          </w:p>
        </w:tc>
        <w:tc>
          <w:tcPr>
            <w:tcW w:w="482" w:type="dxa"/>
          </w:tcPr>
          <w:p w14:paraId="76DB90EB" w14:textId="77777777" w:rsidR="009B3026" w:rsidRDefault="5ACF5D8C" w:rsidP="5ACF5D8C">
            <w:pPr>
              <w:jc w:val="center"/>
              <w:rPr>
                <w:i/>
                <w:iCs/>
              </w:rPr>
            </w:pPr>
            <w:r w:rsidRPr="5ACF5D8C">
              <w:rPr>
                <w:i/>
                <w:iCs/>
              </w:rPr>
              <w:t>5</w:t>
            </w:r>
          </w:p>
        </w:tc>
      </w:tr>
      <w:tr w:rsidR="009B3026" w14:paraId="1C89BCFA" w14:textId="77777777" w:rsidTr="5ACF5D8C">
        <w:tc>
          <w:tcPr>
            <w:tcW w:w="9072" w:type="dxa"/>
            <w:gridSpan w:val="8"/>
          </w:tcPr>
          <w:p w14:paraId="1C3B1FDA" w14:textId="77777777" w:rsidR="009B3026" w:rsidRDefault="009B3026" w:rsidP="006664AB">
            <w:r>
              <w:t>Opmerkingen toetsfuncties:</w:t>
            </w:r>
          </w:p>
          <w:p w14:paraId="1FC39945" w14:textId="77777777" w:rsidR="009B3026" w:rsidRDefault="009B3026" w:rsidP="006664AB"/>
          <w:p w14:paraId="0562CB0E" w14:textId="77777777" w:rsidR="009B3026" w:rsidRDefault="009B3026" w:rsidP="006664AB"/>
          <w:p w14:paraId="34CE0A41" w14:textId="77777777" w:rsidR="009B3026" w:rsidRDefault="009B3026" w:rsidP="006664AB"/>
          <w:p w14:paraId="62EBF3C5" w14:textId="77777777" w:rsidR="009B3026" w:rsidRDefault="009B3026" w:rsidP="006664AB"/>
          <w:p w14:paraId="6D98A12B" w14:textId="77777777" w:rsidR="009B3026" w:rsidRDefault="009B3026" w:rsidP="006664AB"/>
        </w:tc>
      </w:tr>
    </w:tbl>
    <w:p w14:paraId="2946DB82" w14:textId="77777777" w:rsidR="009B3026" w:rsidRDefault="009B3026"/>
    <w:p w14:paraId="5997CC1D" w14:textId="77777777" w:rsidR="009B3026" w:rsidRDefault="009B3026">
      <w:r>
        <w:br w:type="page"/>
      </w:r>
    </w:p>
    <w:tbl>
      <w:tblPr>
        <w:tblStyle w:val="Tabelraster"/>
        <w:tblW w:w="9072" w:type="dxa"/>
        <w:tblInd w:w="-5" w:type="dxa"/>
        <w:tblLayout w:type="fixed"/>
        <w:tblLook w:val="04A0" w:firstRow="1" w:lastRow="0" w:firstColumn="1" w:lastColumn="0" w:noHBand="0" w:noVBand="1"/>
      </w:tblPr>
      <w:tblGrid>
        <w:gridCol w:w="1134"/>
        <w:gridCol w:w="4111"/>
        <w:gridCol w:w="1418"/>
        <w:gridCol w:w="481"/>
        <w:gridCol w:w="482"/>
        <w:gridCol w:w="482"/>
        <w:gridCol w:w="482"/>
        <w:gridCol w:w="482"/>
      </w:tblGrid>
      <w:tr w:rsidR="008C39BC" w14:paraId="1C7C7B00" w14:textId="77777777" w:rsidTr="5ACF5D8C">
        <w:tc>
          <w:tcPr>
            <w:tcW w:w="1134" w:type="dxa"/>
          </w:tcPr>
          <w:p w14:paraId="1108A69F" w14:textId="77777777" w:rsidR="008C39BC" w:rsidRPr="00865452" w:rsidRDefault="008C39BC" w:rsidP="008C39BC">
            <w:pPr>
              <w:rPr>
                <w:b/>
              </w:rPr>
            </w:pPr>
            <w:r w:rsidRPr="00865452">
              <w:rPr>
                <w:b/>
              </w:rPr>
              <w:lastRenderedPageBreak/>
              <w:t>Kwaliteits-aspect:</w:t>
            </w:r>
          </w:p>
        </w:tc>
        <w:tc>
          <w:tcPr>
            <w:tcW w:w="4111" w:type="dxa"/>
          </w:tcPr>
          <w:p w14:paraId="6FA4086F" w14:textId="77777777" w:rsidR="008C39BC" w:rsidRPr="00865452" w:rsidRDefault="008C39BC" w:rsidP="008C39BC">
            <w:pPr>
              <w:rPr>
                <w:b/>
              </w:rPr>
            </w:pPr>
            <w:r w:rsidRPr="00865452">
              <w:rPr>
                <w:b/>
              </w:rPr>
              <w:t>Indicatoren specifiek voor assessments (volgens bovenstaande definitie):</w:t>
            </w:r>
          </w:p>
        </w:tc>
        <w:tc>
          <w:tcPr>
            <w:tcW w:w="1418" w:type="dxa"/>
          </w:tcPr>
          <w:p w14:paraId="37D1A223" w14:textId="77777777" w:rsidR="008C39BC" w:rsidRPr="00865452" w:rsidRDefault="008C39BC" w:rsidP="008C39BC">
            <w:pPr>
              <w:rPr>
                <w:b/>
              </w:rPr>
            </w:pPr>
            <w:r w:rsidRPr="00865452">
              <w:rPr>
                <w:b/>
              </w:rPr>
              <w:t>Stappen in de toetscyclus:</w:t>
            </w:r>
          </w:p>
        </w:tc>
        <w:tc>
          <w:tcPr>
            <w:tcW w:w="2409" w:type="dxa"/>
            <w:gridSpan w:val="5"/>
          </w:tcPr>
          <w:p w14:paraId="5F8647E9" w14:textId="77777777" w:rsidR="008C39BC" w:rsidRPr="00865452" w:rsidRDefault="008C39BC" w:rsidP="008C39BC">
            <w:pPr>
              <w:rPr>
                <w:b/>
                <w:sz w:val="18"/>
                <w:szCs w:val="18"/>
              </w:rPr>
            </w:pPr>
            <w:r w:rsidRPr="00865452">
              <w:rPr>
                <w:b/>
              </w:rPr>
              <w:t xml:space="preserve">Score: </w:t>
            </w:r>
            <w:r w:rsidRPr="00865452">
              <w:rPr>
                <w:b/>
                <w:sz w:val="18"/>
                <w:szCs w:val="18"/>
              </w:rPr>
              <w:t>in welke mate is hieraan voldaan:</w:t>
            </w:r>
          </w:p>
          <w:p w14:paraId="3135A1F8" w14:textId="77777777" w:rsidR="008C39BC" w:rsidRDefault="008C39BC" w:rsidP="008C39BC">
            <w:r w:rsidRPr="00865452">
              <w:rPr>
                <w:b/>
                <w:sz w:val="18"/>
                <w:szCs w:val="18"/>
              </w:rPr>
              <w:t>(1: niet voldaan, 5 helemaal voldaan)</w:t>
            </w:r>
          </w:p>
        </w:tc>
      </w:tr>
      <w:tr w:rsidR="008C39BC" w14:paraId="090D03D0" w14:textId="77777777" w:rsidTr="5ACF5D8C">
        <w:tc>
          <w:tcPr>
            <w:tcW w:w="1134" w:type="dxa"/>
          </w:tcPr>
          <w:p w14:paraId="44217F6D" w14:textId="1AEF61CF" w:rsidR="5ACF5D8C" w:rsidRDefault="5ACF5D8C"/>
          <w:p w14:paraId="143A3186" w14:textId="77777777" w:rsidR="008C39BC" w:rsidRDefault="008C39BC" w:rsidP="008C39BC">
            <w:r>
              <w:t>Condities</w:t>
            </w:r>
          </w:p>
        </w:tc>
        <w:tc>
          <w:tcPr>
            <w:tcW w:w="4111" w:type="dxa"/>
          </w:tcPr>
          <w:p w14:paraId="110FFD37" w14:textId="77777777" w:rsidR="008C39BC" w:rsidRDefault="008C39BC" w:rsidP="008C39BC">
            <w:pPr>
              <w:widowControl w:val="0"/>
              <w:pBdr>
                <w:top w:val="nil"/>
                <w:left w:val="nil"/>
                <w:bottom w:val="nil"/>
                <w:right w:val="nil"/>
                <w:between w:val="nil"/>
              </w:pBdr>
            </w:pPr>
          </w:p>
          <w:p w14:paraId="2170A513" w14:textId="77777777" w:rsidR="008C39BC" w:rsidRDefault="008C39BC" w:rsidP="008C39BC">
            <w:pPr>
              <w:widowControl w:val="0"/>
              <w:pBdr>
                <w:top w:val="nil"/>
                <w:left w:val="nil"/>
                <w:bottom w:val="nil"/>
                <w:right w:val="nil"/>
                <w:between w:val="nil"/>
              </w:pBdr>
            </w:pPr>
            <w:r>
              <w:t>Kwaliteit assessoren:</w:t>
            </w:r>
          </w:p>
          <w:p w14:paraId="5EE2141F" w14:textId="77777777" w:rsidR="008C39BC" w:rsidRDefault="008C39BC" w:rsidP="008C39BC">
            <w:pPr>
              <w:widowControl w:val="0"/>
              <w:pBdr>
                <w:top w:val="nil"/>
                <w:left w:val="nil"/>
                <w:bottom w:val="nil"/>
                <w:right w:val="nil"/>
                <w:between w:val="nil"/>
              </w:pBdr>
            </w:pPr>
            <w:r>
              <w:t>Er zijn onderbouwde keuzes, vanuit vier-ogenprincipe, gemaakt ten aanzien van:</w:t>
            </w:r>
          </w:p>
          <w:p w14:paraId="72D20C23" w14:textId="77777777" w:rsidR="008C39BC" w:rsidRDefault="008C39BC" w:rsidP="008C39BC">
            <w:pPr>
              <w:widowControl w:val="0"/>
              <w:pBdr>
                <w:top w:val="nil"/>
                <w:left w:val="nil"/>
                <w:bottom w:val="nil"/>
                <w:right w:val="nil"/>
                <w:between w:val="nil"/>
              </w:pBdr>
            </w:pPr>
            <w:r>
              <w:t xml:space="preserve">- uitvoerbaarheid (tijd en geld) van de assessmentprocedure. </w:t>
            </w:r>
          </w:p>
          <w:p w14:paraId="7DFB61DC" w14:textId="77777777" w:rsidR="008C39BC" w:rsidRDefault="008C39BC" w:rsidP="008C39BC">
            <w:pPr>
              <w:widowControl w:val="0"/>
              <w:pBdr>
                <w:top w:val="nil"/>
                <w:left w:val="nil"/>
                <w:bottom w:val="nil"/>
                <w:right w:val="nil"/>
                <w:between w:val="nil"/>
              </w:pBdr>
            </w:pPr>
            <w:r>
              <w:t>- de kwaliteit van de assessoren. Assessorenkwaliteit en inhoudelijke kwaliteit. (Zie bijlage voor informatie over trainingsmogelijkheden assessoren.)</w:t>
            </w:r>
          </w:p>
          <w:p w14:paraId="3246F57B" w14:textId="77777777" w:rsidR="008C39BC" w:rsidRDefault="008C39BC" w:rsidP="008C39BC">
            <w:pPr>
              <w:widowControl w:val="0"/>
              <w:pBdr>
                <w:top w:val="nil"/>
                <w:left w:val="nil"/>
                <w:bottom w:val="nil"/>
                <w:right w:val="nil"/>
                <w:between w:val="nil"/>
              </w:pBdr>
            </w:pPr>
            <w:r>
              <w:t>- aantal assessoren en rol  van de assessoren, wel of niet betrokken bij begeleiding, wel of geen peers, rol beroepenveld</w:t>
            </w:r>
          </w:p>
          <w:p w14:paraId="6B699379" w14:textId="77777777" w:rsidR="008C39BC" w:rsidRDefault="008C39BC" w:rsidP="008C39BC">
            <w:pPr>
              <w:widowControl w:val="0"/>
              <w:pBdr>
                <w:top w:val="nil"/>
                <w:left w:val="nil"/>
                <w:bottom w:val="nil"/>
                <w:right w:val="nil"/>
                <w:between w:val="nil"/>
              </w:pBdr>
              <w:ind w:left="720"/>
            </w:pPr>
          </w:p>
          <w:p w14:paraId="12799B3A" w14:textId="77777777" w:rsidR="008C39BC" w:rsidRDefault="008C39BC" w:rsidP="008C39BC">
            <w:pPr>
              <w:widowControl w:val="0"/>
              <w:pBdr>
                <w:top w:val="nil"/>
                <w:left w:val="nil"/>
                <w:bottom w:val="nil"/>
                <w:right w:val="nil"/>
                <w:between w:val="nil"/>
              </w:pBdr>
            </w:pPr>
            <w:r>
              <w:t xml:space="preserve">Uitvoering is conform gemaakte keuzes. </w:t>
            </w:r>
          </w:p>
          <w:p w14:paraId="3FE9F23F" w14:textId="77777777" w:rsidR="008C39BC" w:rsidRDefault="008C39BC" w:rsidP="008C39BC">
            <w:pPr>
              <w:widowControl w:val="0"/>
              <w:pBdr>
                <w:top w:val="nil"/>
                <w:left w:val="nil"/>
                <w:bottom w:val="nil"/>
                <w:right w:val="nil"/>
                <w:between w:val="nil"/>
              </w:pBdr>
            </w:pPr>
          </w:p>
          <w:p w14:paraId="292E2841" w14:textId="77777777" w:rsidR="008C39BC" w:rsidRDefault="008C39BC" w:rsidP="008C39BC">
            <w:pPr>
              <w:widowControl w:val="0"/>
              <w:pBdr>
                <w:top w:val="nil"/>
                <w:left w:val="nil"/>
                <w:bottom w:val="nil"/>
                <w:right w:val="nil"/>
                <w:between w:val="nil"/>
              </w:pBdr>
            </w:pPr>
            <w:r>
              <w:t xml:space="preserve">Transparantie: </w:t>
            </w:r>
          </w:p>
          <w:p w14:paraId="46D241F4" w14:textId="77777777" w:rsidR="008C39BC" w:rsidRDefault="008C39BC" w:rsidP="008C39BC">
            <w:pPr>
              <w:widowControl w:val="0"/>
              <w:pBdr>
                <w:top w:val="nil"/>
                <w:left w:val="nil"/>
                <w:bottom w:val="nil"/>
                <w:right w:val="nil"/>
                <w:between w:val="nil"/>
              </w:pBdr>
            </w:pPr>
            <w:r>
              <w:t>- Er is een duidelijke handleiding voor studenten.</w:t>
            </w:r>
          </w:p>
          <w:p w14:paraId="5661EC78" w14:textId="77777777" w:rsidR="008C39BC" w:rsidRDefault="008C39BC" w:rsidP="008C39BC">
            <w:pPr>
              <w:widowControl w:val="0"/>
              <w:pBdr>
                <w:top w:val="nil"/>
                <w:left w:val="nil"/>
                <w:bottom w:val="nil"/>
                <w:right w:val="nil"/>
                <w:between w:val="nil"/>
              </w:pBdr>
            </w:pPr>
            <w:r>
              <w:t>- Er is een duidelijke de scheiding tussen waarneming en waardering (op het formulier).</w:t>
            </w:r>
          </w:p>
          <w:p w14:paraId="38DE9B59" w14:textId="77777777" w:rsidR="008C39BC" w:rsidRDefault="008C39BC" w:rsidP="008C39BC">
            <w:pPr>
              <w:widowControl w:val="0"/>
              <w:pBdr>
                <w:top w:val="nil"/>
                <w:left w:val="nil"/>
                <w:bottom w:val="nil"/>
                <w:right w:val="nil"/>
                <w:between w:val="nil"/>
              </w:pBdr>
            </w:pPr>
            <w:r>
              <w:t>- De totstandkoming van eindbeoordeling is navolgbaar.</w:t>
            </w:r>
          </w:p>
          <w:p w14:paraId="26293E9A" w14:textId="77777777" w:rsidR="008C39BC" w:rsidRPr="00671E51" w:rsidRDefault="008C39BC" w:rsidP="008C39BC">
            <w:pPr>
              <w:textAlignment w:val="baseline"/>
              <w:rPr>
                <w:rFonts w:eastAsia="Times New Roman"/>
                <w:color w:val="000000"/>
              </w:rPr>
            </w:pPr>
            <w:r>
              <w:rPr>
                <w:rFonts w:eastAsia="Times New Roman"/>
                <w:color w:val="000000"/>
              </w:rPr>
              <w:t xml:space="preserve">- Heldere beoordelingsprocedure voor alle betrokken partijen (docent – student – management), </w:t>
            </w:r>
            <w:r w:rsidRPr="0016071B">
              <w:rPr>
                <w:rFonts w:eastAsia="Times New Roman"/>
                <w:color w:val="000000"/>
              </w:rPr>
              <w:t>plaats en functie van de praktijk, toelaatbaarheid: eerste kans of niet, voorwaardelijkheid - volledigheid.</w:t>
            </w:r>
            <w:r>
              <w:rPr>
                <w:rFonts w:eastAsia="Times New Roman"/>
                <w:color w:val="000000"/>
              </w:rPr>
              <w:t xml:space="preserve"> </w:t>
            </w:r>
          </w:p>
          <w:p w14:paraId="1F72F646" w14:textId="77777777" w:rsidR="008C39BC" w:rsidRDefault="008C39BC" w:rsidP="008C39BC">
            <w:pPr>
              <w:widowControl w:val="0"/>
              <w:pBdr>
                <w:top w:val="nil"/>
                <w:left w:val="nil"/>
                <w:bottom w:val="nil"/>
                <w:right w:val="nil"/>
                <w:between w:val="nil"/>
              </w:pBdr>
            </w:pPr>
          </w:p>
        </w:tc>
        <w:tc>
          <w:tcPr>
            <w:tcW w:w="1418" w:type="dxa"/>
          </w:tcPr>
          <w:p w14:paraId="317EB7E5" w14:textId="7286070A" w:rsidR="5ACF5D8C" w:rsidRDefault="5ACF5D8C" w:rsidP="5ACF5D8C">
            <w:pPr>
              <w:rPr>
                <w:i/>
                <w:iCs/>
              </w:rPr>
            </w:pPr>
          </w:p>
          <w:p w14:paraId="4D9BE87F" w14:textId="77777777" w:rsidR="008C39BC" w:rsidRPr="00865452" w:rsidRDefault="008C39BC" w:rsidP="008C39BC">
            <w:pPr>
              <w:rPr>
                <w:i/>
              </w:rPr>
            </w:pPr>
            <w:r w:rsidRPr="00865452">
              <w:rPr>
                <w:i/>
              </w:rPr>
              <w:t>Constructie en uitvoering.</w:t>
            </w:r>
          </w:p>
        </w:tc>
        <w:tc>
          <w:tcPr>
            <w:tcW w:w="481" w:type="dxa"/>
          </w:tcPr>
          <w:p w14:paraId="19F14E3C" w14:textId="77777777" w:rsidR="008C39BC" w:rsidRDefault="5ACF5D8C" w:rsidP="5ACF5D8C">
            <w:pPr>
              <w:jc w:val="center"/>
              <w:rPr>
                <w:i/>
                <w:iCs/>
              </w:rPr>
            </w:pPr>
            <w:r w:rsidRPr="5ACF5D8C">
              <w:rPr>
                <w:i/>
                <w:iCs/>
              </w:rPr>
              <w:t>1</w:t>
            </w:r>
          </w:p>
        </w:tc>
        <w:tc>
          <w:tcPr>
            <w:tcW w:w="482" w:type="dxa"/>
          </w:tcPr>
          <w:p w14:paraId="7842F596" w14:textId="77777777" w:rsidR="008C39BC" w:rsidRDefault="5ACF5D8C" w:rsidP="5ACF5D8C">
            <w:pPr>
              <w:jc w:val="center"/>
              <w:rPr>
                <w:i/>
                <w:iCs/>
              </w:rPr>
            </w:pPr>
            <w:r w:rsidRPr="5ACF5D8C">
              <w:rPr>
                <w:i/>
                <w:iCs/>
              </w:rPr>
              <w:t>2</w:t>
            </w:r>
          </w:p>
        </w:tc>
        <w:tc>
          <w:tcPr>
            <w:tcW w:w="482" w:type="dxa"/>
          </w:tcPr>
          <w:p w14:paraId="68D9363B" w14:textId="77777777" w:rsidR="008C39BC" w:rsidRDefault="5ACF5D8C" w:rsidP="5ACF5D8C">
            <w:pPr>
              <w:jc w:val="center"/>
              <w:rPr>
                <w:i/>
                <w:iCs/>
              </w:rPr>
            </w:pPr>
            <w:r w:rsidRPr="5ACF5D8C">
              <w:rPr>
                <w:i/>
                <w:iCs/>
              </w:rPr>
              <w:t>3</w:t>
            </w:r>
          </w:p>
        </w:tc>
        <w:tc>
          <w:tcPr>
            <w:tcW w:w="482" w:type="dxa"/>
          </w:tcPr>
          <w:p w14:paraId="17310F6F" w14:textId="77777777" w:rsidR="008C39BC" w:rsidRDefault="5ACF5D8C" w:rsidP="5ACF5D8C">
            <w:pPr>
              <w:jc w:val="center"/>
              <w:rPr>
                <w:i/>
                <w:iCs/>
              </w:rPr>
            </w:pPr>
            <w:r w:rsidRPr="5ACF5D8C">
              <w:rPr>
                <w:i/>
                <w:iCs/>
              </w:rPr>
              <w:t>4</w:t>
            </w:r>
          </w:p>
        </w:tc>
        <w:tc>
          <w:tcPr>
            <w:tcW w:w="482" w:type="dxa"/>
          </w:tcPr>
          <w:p w14:paraId="729DE7E4" w14:textId="77777777" w:rsidR="008C39BC" w:rsidRDefault="5ACF5D8C" w:rsidP="5ACF5D8C">
            <w:pPr>
              <w:jc w:val="center"/>
              <w:rPr>
                <w:i/>
                <w:iCs/>
              </w:rPr>
            </w:pPr>
            <w:r w:rsidRPr="5ACF5D8C">
              <w:rPr>
                <w:i/>
                <w:iCs/>
              </w:rPr>
              <w:t>5</w:t>
            </w:r>
          </w:p>
        </w:tc>
      </w:tr>
      <w:tr w:rsidR="008C39BC" w14:paraId="339BA89B" w14:textId="77777777" w:rsidTr="5ACF5D8C">
        <w:tc>
          <w:tcPr>
            <w:tcW w:w="9072" w:type="dxa"/>
            <w:gridSpan w:val="8"/>
          </w:tcPr>
          <w:p w14:paraId="3EF3571D" w14:textId="77777777" w:rsidR="008C39BC" w:rsidRDefault="008C39BC" w:rsidP="008C39BC">
            <w:r>
              <w:t>Opmerkingen condities:</w:t>
            </w:r>
          </w:p>
          <w:p w14:paraId="08CE6F91" w14:textId="77777777" w:rsidR="008C39BC" w:rsidRDefault="008C39BC" w:rsidP="008C39BC"/>
          <w:p w14:paraId="61CDCEAD" w14:textId="77777777" w:rsidR="008C39BC" w:rsidRDefault="008C39BC" w:rsidP="008C39BC"/>
          <w:p w14:paraId="6BB9E253" w14:textId="77777777" w:rsidR="008C39BC" w:rsidRDefault="008C39BC" w:rsidP="008C39BC"/>
          <w:p w14:paraId="23DE523C" w14:textId="77777777" w:rsidR="008C39BC" w:rsidRDefault="008C39BC" w:rsidP="008C39BC"/>
        </w:tc>
      </w:tr>
    </w:tbl>
    <w:p w14:paraId="52E56223" w14:textId="77777777" w:rsidR="00AB1DE2" w:rsidRDefault="00AB1DE2" w:rsidP="00AB1DE2"/>
    <w:p w14:paraId="07547A01" w14:textId="77777777" w:rsidR="00AB1DE2" w:rsidRDefault="00AB1DE2" w:rsidP="00BC1AA4"/>
    <w:sectPr w:rsidR="00AB1DE2" w:rsidSect="009B3026">
      <w:headerReference w:type="default" r:id="rId11"/>
      <w:footerReference w:type="default" r:id="rId12"/>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9315" w14:textId="77777777" w:rsidR="004964C5" w:rsidRDefault="004964C5" w:rsidP="004964C5">
      <w:pPr>
        <w:spacing w:after="0" w:line="240" w:lineRule="auto"/>
      </w:pPr>
      <w:r>
        <w:separator/>
      </w:r>
    </w:p>
  </w:endnote>
  <w:endnote w:type="continuationSeparator" w:id="0">
    <w:p w14:paraId="6537F28F" w14:textId="77777777" w:rsidR="004964C5" w:rsidRDefault="004964C5" w:rsidP="0049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975580"/>
      <w:docPartObj>
        <w:docPartGallery w:val="Page Numbers (Bottom of Page)"/>
        <w:docPartUnique/>
      </w:docPartObj>
    </w:sdtPr>
    <w:sdtEndPr>
      <w:rPr>
        <w:sz w:val="16"/>
        <w:szCs w:val="16"/>
      </w:rPr>
    </w:sdtEndPr>
    <w:sdtContent>
      <w:p w14:paraId="52877504" w14:textId="4F707C45" w:rsidR="004964C5" w:rsidRPr="00211DA8" w:rsidRDefault="004964C5">
        <w:pPr>
          <w:pStyle w:val="Voettekst"/>
          <w:jc w:val="center"/>
          <w:rPr>
            <w:sz w:val="16"/>
            <w:szCs w:val="16"/>
          </w:rPr>
        </w:pPr>
        <w:r>
          <w:fldChar w:fldCharType="begin"/>
        </w:r>
        <w:r>
          <w:instrText>PAGE   \* MERGEFORMAT</w:instrText>
        </w:r>
        <w:r>
          <w:fldChar w:fldCharType="separate"/>
        </w:r>
        <w:r w:rsidR="00644BDC">
          <w:rPr>
            <w:noProof/>
          </w:rPr>
          <w:t>1</w:t>
        </w:r>
        <w:r>
          <w:fldChar w:fldCharType="end"/>
        </w:r>
        <w:r>
          <w:t xml:space="preserve"> </w:t>
        </w:r>
        <w:r w:rsidRPr="00211DA8">
          <w:rPr>
            <w:sz w:val="16"/>
            <w:szCs w:val="16"/>
          </w:rPr>
          <w:t>HU-asses</w:t>
        </w:r>
        <w:r w:rsidR="00E4732A">
          <w:rPr>
            <w:sz w:val="16"/>
            <w:szCs w:val="16"/>
          </w:rPr>
          <w:t>sment: Handreiking voor examencommissies</w:t>
        </w:r>
      </w:p>
    </w:sdtContent>
  </w:sdt>
  <w:p w14:paraId="5043CB0F" w14:textId="77777777" w:rsidR="004964C5" w:rsidRDefault="004964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9E20" w14:textId="77777777" w:rsidR="004964C5" w:rsidRDefault="004964C5" w:rsidP="004964C5">
      <w:pPr>
        <w:spacing w:after="0" w:line="240" w:lineRule="auto"/>
      </w:pPr>
      <w:r>
        <w:separator/>
      </w:r>
    </w:p>
  </w:footnote>
  <w:footnote w:type="continuationSeparator" w:id="0">
    <w:p w14:paraId="70DF9E56" w14:textId="77777777" w:rsidR="004964C5" w:rsidRDefault="004964C5" w:rsidP="00496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59D7FD7F" w14:paraId="6F4185EF" w14:textId="77777777" w:rsidTr="59D7FD7F">
      <w:tc>
        <w:tcPr>
          <w:tcW w:w="3024" w:type="dxa"/>
        </w:tcPr>
        <w:p w14:paraId="29778462" w14:textId="00693284" w:rsidR="59D7FD7F" w:rsidRDefault="59D7FD7F" w:rsidP="59D7FD7F">
          <w:pPr>
            <w:pStyle w:val="Koptekst"/>
            <w:ind w:left="-115"/>
          </w:pPr>
        </w:p>
      </w:tc>
      <w:tc>
        <w:tcPr>
          <w:tcW w:w="3024" w:type="dxa"/>
        </w:tcPr>
        <w:p w14:paraId="1AA212B2" w14:textId="26DEE2C0" w:rsidR="59D7FD7F" w:rsidRDefault="59D7FD7F" w:rsidP="59D7FD7F">
          <w:pPr>
            <w:pStyle w:val="Koptekst"/>
            <w:jc w:val="center"/>
          </w:pPr>
        </w:p>
      </w:tc>
      <w:tc>
        <w:tcPr>
          <w:tcW w:w="3024" w:type="dxa"/>
        </w:tcPr>
        <w:p w14:paraId="0969516F" w14:textId="01EAB03E" w:rsidR="59D7FD7F" w:rsidRDefault="59D7FD7F" w:rsidP="59D7FD7F">
          <w:pPr>
            <w:pStyle w:val="Koptekst"/>
            <w:ind w:right="-115"/>
            <w:jc w:val="right"/>
          </w:pPr>
        </w:p>
      </w:tc>
    </w:tr>
  </w:tbl>
  <w:p w14:paraId="10FAC7CB" w14:textId="7C6F83C8" w:rsidR="59D7FD7F" w:rsidRDefault="59D7FD7F" w:rsidP="59D7FD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5E9"/>
    <w:multiLevelType w:val="multilevel"/>
    <w:tmpl w:val="3CAE6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04BD5"/>
    <w:multiLevelType w:val="multilevel"/>
    <w:tmpl w:val="F4A63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7C50D2"/>
    <w:multiLevelType w:val="hybridMultilevel"/>
    <w:tmpl w:val="1A245C46"/>
    <w:lvl w:ilvl="0" w:tplc="783E7356">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CE6FDC"/>
    <w:multiLevelType w:val="hybridMultilevel"/>
    <w:tmpl w:val="73585BF2"/>
    <w:lvl w:ilvl="0" w:tplc="9B3237A8">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AA16CA"/>
    <w:multiLevelType w:val="hybridMultilevel"/>
    <w:tmpl w:val="62BC534C"/>
    <w:lvl w:ilvl="0" w:tplc="F5789B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8E066F"/>
    <w:multiLevelType w:val="multilevel"/>
    <w:tmpl w:val="EB56F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E528B"/>
    <w:multiLevelType w:val="multilevel"/>
    <w:tmpl w:val="DA74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2A11E8"/>
    <w:multiLevelType w:val="hybridMultilevel"/>
    <w:tmpl w:val="A1DC050A"/>
    <w:lvl w:ilvl="0" w:tplc="DB8C1BC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E63D81"/>
    <w:multiLevelType w:val="multilevel"/>
    <w:tmpl w:val="99B6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7F52C5"/>
    <w:multiLevelType w:val="multilevel"/>
    <w:tmpl w:val="1F484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2B37F5"/>
    <w:multiLevelType w:val="multilevel"/>
    <w:tmpl w:val="E13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25808"/>
    <w:multiLevelType w:val="multilevel"/>
    <w:tmpl w:val="C90C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535E01"/>
    <w:multiLevelType w:val="hybridMultilevel"/>
    <w:tmpl w:val="1BB66A30"/>
    <w:lvl w:ilvl="0" w:tplc="8F96EA2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
  </w:num>
  <w:num w:numId="5">
    <w:abstractNumId w:val="6"/>
  </w:num>
  <w:num w:numId="6">
    <w:abstractNumId w:val="0"/>
  </w:num>
  <w:num w:numId="7">
    <w:abstractNumId w:val="8"/>
  </w:num>
  <w:num w:numId="8">
    <w:abstractNumId w:val="4"/>
  </w:num>
  <w:num w:numId="9">
    <w:abstractNumId w:val="2"/>
  </w:num>
  <w:num w:numId="10">
    <w:abstractNumId w:val="1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A4"/>
    <w:rsid w:val="00041BA9"/>
    <w:rsid w:val="00090EC5"/>
    <w:rsid w:val="000D79D3"/>
    <w:rsid w:val="000E36C1"/>
    <w:rsid w:val="0016071B"/>
    <w:rsid w:val="001817A3"/>
    <w:rsid w:val="001C4C51"/>
    <w:rsid w:val="001D5314"/>
    <w:rsid w:val="001E3DC3"/>
    <w:rsid w:val="00211DA8"/>
    <w:rsid w:val="00275417"/>
    <w:rsid w:val="002D427E"/>
    <w:rsid w:val="003F6D50"/>
    <w:rsid w:val="004964C5"/>
    <w:rsid w:val="004E2EDD"/>
    <w:rsid w:val="004E7C89"/>
    <w:rsid w:val="00550D30"/>
    <w:rsid w:val="0056022C"/>
    <w:rsid w:val="00583F17"/>
    <w:rsid w:val="00644BDC"/>
    <w:rsid w:val="006664AB"/>
    <w:rsid w:val="00671E51"/>
    <w:rsid w:val="00681600"/>
    <w:rsid w:val="007F2797"/>
    <w:rsid w:val="00865452"/>
    <w:rsid w:val="008C39BC"/>
    <w:rsid w:val="00965EF0"/>
    <w:rsid w:val="009B3026"/>
    <w:rsid w:val="00A152F2"/>
    <w:rsid w:val="00A2767F"/>
    <w:rsid w:val="00A3485F"/>
    <w:rsid w:val="00AB1DE2"/>
    <w:rsid w:val="00B159C2"/>
    <w:rsid w:val="00B61B58"/>
    <w:rsid w:val="00BC1AA4"/>
    <w:rsid w:val="00C57926"/>
    <w:rsid w:val="00C85783"/>
    <w:rsid w:val="00D12F91"/>
    <w:rsid w:val="00D809B7"/>
    <w:rsid w:val="00E045C0"/>
    <w:rsid w:val="00E339EC"/>
    <w:rsid w:val="00E4732A"/>
    <w:rsid w:val="00EA1FBC"/>
    <w:rsid w:val="47044D62"/>
    <w:rsid w:val="59D7FD7F"/>
    <w:rsid w:val="5ACF5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7CE26"/>
  <w15:chartTrackingRefBased/>
  <w15:docId w15:val="{1EA194AE-B6E5-494F-86A6-0B42315F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C1AA4"/>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5783"/>
    <w:pPr>
      <w:ind w:left="720"/>
      <w:contextualSpacing/>
    </w:pPr>
  </w:style>
  <w:style w:type="paragraph" w:styleId="Ballontekst">
    <w:name w:val="Balloon Text"/>
    <w:basedOn w:val="Standaard"/>
    <w:link w:val="BallontekstChar"/>
    <w:uiPriority w:val="99"/>
    <w:semiHidden/>
    <w:unhideWhenUsed/>
    <w:rsid w:val="00D12F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2F91"/>
    <w:rPr>
      <w:rFonts w:ascii="Segoe UI" w:eastAsia="Calibri" w:hAnsi="Segoe UI" w:cs="Segoe UI"/>
      <w:sz w:val="18"/>
      <w:szCs w:val="18"/>
      <w:lang w:eastAsia="nl-NL"/>
    </w:rPr>
  </w:style>
  <w:style w:type="paragraph" w:styleId="Koptekst">
    <w:name w:val="header"/>
    <w:basedOn w:val="Standaard"/>
    <w:link w:val="KoptekstChar"/>
    <w:uiPriority w:val="99"/>
    <w:unhideWhenUsed/>
    <w:rsid w:val="004964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4C5"/>
    <w:rPr>
      <w:rFonts w:ascii="Calibri" w:eastAsia="Calibri" w:hAnsi="Calibri" w:cs="Calibri"/>
      <w:lang w:eastAsia="nl-NL"/>
    </w:rPr>
  </w:style>
  <w:style w:type="paragraph" w:styleId="Voettekst">
    <w:name w:val="footer"/>
    <w:basedOn w:val="Standaard"/>
    <w:link w:val="VoettekstChar"/>
    <w:uiPriority w:val="99"/>
    <w:unhideWhenUsed/>
    <w:rsid w:val="004964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4C5"/>
    <w:rPr>
      <w:rFonts w:ascii="Calibri" w:eastAsia="Calibri" w:hAnsi="Calibri" w:cs="Calibri"/>
      <w:lang w:eastAsia="nl-NL"/>
    </w:rPr>
  </w:style>
  <w:style w:type="table" w:styleId="Tabelraster">
    <w:name w:val="Table Grid"/>
    <w:basedOn w:val="Standaardtabel"/>
    <w:uiPriority w:val="39"/>
    <w:rsid w:val="00AB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809B7"/>
    <w:rPr>
      <w:sz w:val="16"/>
      <w:szCs w:val="16"/>
    </w:rPr>
  </w:style>
  <w:style w:type="paragraph" w:styleId="Tekstopmerking">
    <w:name w:val="annotation text"/>
    <w:basedOn w:val="Standaard"/>
    <w:link w:val="TekstopmerkingChar"/>
    <w:uiPriority w:val="99"/>
    <w:semiHidden/>
    <w:unhideWhenUsed/>
    <w:rsid w:val="00D809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09B7"/>
    <w:rPr>
      <w:rFonts w:ascii="Calibri" w:eastAsia="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809B7"/>
    <w:rPr>
      <w:b/>
      <w:bCs/>
    </w:rPr>
  </w:style>
  <w:style w:type="character" w:customStyle="1" w:styleId="OnderwerpvanopmerkingChar">
    <w:name w:val="Onderwerp van opmerking Char"/>
    <w:basedOn w:val="TekstopmerkingChar"/>
    <w:link w:val="Onderwerpvanopmerking"/>
    <w:uiPriority w:val="99"/>
    <w:semiHidden/>
    <w:rsid w:val="00D809B7"/>
    <w:rPr>
      <w:rFonts w:ascii="Calibri" w:eastAsia="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A4BE2DA6D554EA20447B2613B86BA" ma:contentTypeVersion="2" ma:contentTypeDescription="Een nieuw document maken." ma:contentTypeScope="" ma:versionID="bfddf2f070f6b6353ecfc69b51e9288b">
  <xsd:schema xmlns:xsd="http://www.w3.org/2001/XMLSchema" xmlns:xs="http://www.w3.org/2001/XMLSchema" xmlns:p="http://schemas.microsoft.com/office/2006/metadata/properties" xmlns:ns2="94bdede1-b17f-43cf-b09b-431872e6a3c6" targetNamespace="http://schemas.microsoft.com/office/2006/metadata/properties" ma:root="true" ma:fieldsID="f85ea3962fcaf31522f3b544177c4fa2" ns2:_="">
    <xsd:import namespace="94bdede1-b17f-43cf-b09b-431872e6a3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dede1-b17f-43cf-b09b-431872e6a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7F05A-1C75-4C3C-AF82-AB9534B69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dede1-b17f-43cf-b09b-431872e6a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47204-2F98-41D4-82B0-38C2B9AB63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bdede1-b17f-43cf-b09b-431872e6a3c6"/>
    <ds:schemaRef ds:uri="http://www.w3.org/XML/1998/namespace"/>
    <ds:schemaRef ds:uri="http://purl.org/dc/dcmitype/"/>
  </ds:schemaRefs>
</ds:datastoreItem>
</file>

<file path=customXml/itemProps3.xml><?xml version="1.0" encoding="utf-8"?>
<ds:datastoreItem xmlns:ds="http://schemas.openxmlformats.org/officeDocument/2006/customXml" ds:itemID="{2E9B7D1C-60F4-4754-88A9-00546335941F}">
  <ds:schemaRefs>
    <ds:schemaRef ds:uri="http://schemas.microsoft.com/sharepoint/v3/contenttype/forms"/>
  </ds:schemaRefs>
</ds:datastoreItem>
</file>

<file path=customXml/itemProps4.xml><?xml version="1.0" encoding="utf-8"?>
<ds:datastoreItem xmlns:ds="http://schemas.openxmlformats.org/officeDocument/2006/customXml" ds:itemID="{86C730E4-D304-4B36-8B3E-9C122916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4668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Peeters</dc:creator>
  <cp:keywords/>
  <dc:description/>
  <cp:lastModifiedBy>Wendy Peeters</cp:lastModifiedBy>
  <cp:revision>2</cp:revision>
  <cp:lastPrinted>2019-04-12T09:35:00Z</cp:lastPrinted>
  <dcterms:created xsi:type="dcterms:W3CDTF">2019-06-20T14:25:00Z</dcterms:created>
  <dcterms:modified xsi:type="dcterms:W3CDTF">2019-06-20T14:25:00Z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0x010100543A4BE2DA6D554EA20447B2613B86BA</vt:lpwstr>
  </property>
</Properties>
</file>